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690" w:tblpY="1452"/>
        <w:tblOverlap w:val="never"/>
        <w:tblW w:w="9653" w:type="dxa"/>
        <w:tblInd w:w="0" w:type="dxa"/>
        <w:tblLook w:val="04A0" w:firstRow="1" w:lastRow="0" w:firstColumn="1" w:lastColumn="0" w:noHBand="0" w:noVBand="1"/>
      </w:tblPr>
      <w:tblGrid>
        <w:gridCol w:w="1186"/>
        <w:gridCol w:w="102"/>
        <w:gridCol w:w="102"/>
        <w:gridCol w:w="432"/>
        <w:gridCol w:w="657"/>
        <w:gridCol w:w="7174"/>
      </w:tblGrid>
      <w:tr w:rsidR="00D87DC3" w:rsidTr="00D87DC3">
        <w:trPr>
          <w:trHeight w:val="9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F6" w:rsidRDefault="00D87DC3" w:rsidP="00DD597C">
            <w:pPr>
              <w:ind w:right="33"/>
            </w:pPr>
            <w:r>
              <w:rPr>
                <w:noProof/>
              </w:rPr>
              <w:drawing>
                <wp:inline distT="0" distB="0" distL="0" distR="0" wp14:anchorId="679E4D62" wp14:editId="3F0B93F9">
                  <wp:extent cx="727570" cy="729358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70" cy="72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7813"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   </w:t>
            </w:r>
          </w:p>
        </w:tc>
        <w:tc>
          <w:tcPr>
            <w:tcW w:w="102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:rsidR="007824F6" w:rsidRDefault="007824F6"/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:rsidR="007824F6" w:rsidRDefault="007824F6"/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:rsidR="007824F6" w:rsidRDefault="00EB7813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831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7824F6" w:rsidRDefault="00D87DC3">
            <w:pPr>
              <w:ind w:left="110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UNIVERSITY OF BANJA LUKA</w:t>
            </w:r>
          </w:p>
          <w:p w:rsidR="007824F6" w:rsidRDefault="00EB7813">
            <w:pPr>
              <w:ind w:right="12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7824F6" w:rsidRDefault="00D87DC3">
            <w:pPr>
              <w:spacing w:after="51"/>
              <w:ind w:left="139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FACULTY OF PHILOLOGY</w:t>
            </w:r>
            <w:r w:rsidR="00EB7813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7824F6" w:rsidRDefault="00EB7813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D87DC3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24F6" w:rsidRDefault="007824F6"/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7824F6" w:rsidRDefault="007824F6">
            <w:pPr>
              <w:ind w:left="-507" w:right="-537"/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7824F6" w:rsidRDefault="007824F6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:rsidR="007824F6" w:rsidRDefault="007824F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:rsidR="007824F6" w:rsidRDefault="007824F6"/>
        </w:tc>
      </w:tr>
      <w:tr w:rsidR="00D87DC3" w:rsidTr="00D87DC3">
        <w:trPr>
          <w:trHeight w:val="29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DC3" w:rsidRDefault="00D87DC3" w:rsidP="00D87DC3"/>
        </w:tc>
        <w:tc>
          <w:tcPr>
            <w:tcW w:w="83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DC3" w:rsidRPr="00BA5F53" w:rsidRDefault="00D87DC3" w:rsidP="00D87DC3">
            <w:pPr>
              <w:ind w:left="1945"/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  <w:sz w:val="24"/>
              </w:rPr>
              <w:t>Graduate academic studies</w:t>
            </w:r>
          </w:p>
        </w:tc>
      </w:tr>
      <w:tr w:rsidR="00D87DC3" w:rsidTr="00D87DC3">
        <w:trPr>
          <w:trHeight w:val="281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F6" w:rsidRDefault="00D87DC3" w:rsidP="00D87DC3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Study program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pPr>
              <w:ind w:left="-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7824F6" w:rsidRDefault="00EB7813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7824F6" w:rsidRDefault="00EB7813">
      <w:pPr>
        <w:spacing w:after="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649" w:type="dxa"/>
        <w:tblInd w:w="-107" w:type="dxa"/>
        <w:tblCellMar>
          <w:top w:w="47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632"/>
        <w:gridCol w:w="1619"/>
        <w:gridCol w:w="2700"/>
      </w:tblGrid>
      <w:tr w:rsidR="007824F6" w:rsidTr="00D87DC3">
        <w:trPr>
          <w:trHeight w:val="25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D87DC3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Subject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5B5B5"/>
          </w:tcPr>
          <w:p w:rsidR="007824F6" w:rsidRDefault="00D87DC3">
            <w:r>
              <w:rPr>
                <w:rFonts w:ascii="Times New Roman" w:eastAsia="Times New Roman" w:hAnsi="Times New Roman" w:cs="Times New Roman"/>
                <w:b/>
              </w:rPr>
              <w:t xml:space="preserve">Language of </w:t>
            </w:r>
            <w:r w:rsidRPr="00D87DC3">
              <w:rPr>
                <w:rFonts w:ascii="Times New Roman" w:eastAsia="Times New Roman" w:hAnsi="Times New Roman" w:cs="Times New Roman"/>
                <w:b/>
              </w:rPr>
              <w:t>Italian mass media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5B5B5"/>
          </w:tcPr>
          <w:p w:rsidR="007824F6" w:rsidRDefault="007824F6"/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5B5B5"/>
            <w:vAlign w:val="bottom"/>
          </w:tcPr>
          <w:p w:rsidR="007824F6" w:rsidRDefault="007824F6"/>
        </w:tc>
      </w:tr>
      <w:tr w:rsidR="00D87DC3" w:rsidTr="00D87DC3">
        <w:trPr>
          <w:trHeight w:val="52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C3" w:rsidRPr="00BA5F53" w:rsidRDefault="00D87DC3" w:rsidP="00D87DC3">
            <w:pPr>
              <w:spacing w:after="20"/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>Subject code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DC3" w:rsidRPr="00BA5F53" w:rsidRDefault="00D87DC3" w:rsidP="00D87DC3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 xml:space="preserve">Subject status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C3" w:rsidRPr="00BA5F53" w:rsidRDefault="00D87DC3" w:rsidP="00D87DC3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 xml:space="preserve">Semester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C3" w:rsidRPr="00BA5F53" w:rsidRDefault="00D87DC3" w:rsidP="00D87DC3">
            <w:pPr>
              <w:ind w:left="71"/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>Lesson fund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DC3" w:rsidRPr="00BA5F53" w:rsidRDefault="00D87DC3" w:rsidP="00D87DC3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 xml:space="preserve">Number of </w:t>
            </w:r>
            <w:proofErr w:type="spellStart"/>
            <w:r w:rsidRPr="00BA5F53">
              <w:rPr>
                <w:rFonts w:ascii="Times New Roman" w:eastAsia="Times New Roman" w:hAnsi="Times New Roman" w:cs="Times New Roman"/>
                <w:b/>
              </w:rPr>
              <w:t>ECTS</w:t>
            </w:r>
            <w:proofErr w:type="spellEnd"/>
            <w:r w:rsidRPr="00BA5F53">
              <w:rPr>
                <w:rFonts w:ascii="Times New Roman" w:eastAsia="Times New Roman" w:hAnsi="Times New Roman" w:cs="Times New Roman"/>
                <w:b/>
              </w:rPr>
              <w:t xml:space="preserve"> credits</w:t>
            </w:r>
          </w:p>
        </w:tc>
      </w:tr>
      <w:tr w:rsidR="007824F6" w:rsidTr="00D87DC3">
        <w:trPr>
          <w:trHeight w:val="26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D87DC3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SIJ</w:t>
            </w:r>
            <w:proofErr w:type="spellEnd"/>
            <w:r w:rsidR="00EB78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D87DC3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EB78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IX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2+2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7824F6" w:rsidTr="00D87DC3">
        <w:trPr>
          <w:trHeight w:val="51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7824F6" w:rsidRDefault="00D87DC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Professors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4F6" w:rsidRDefault="00D87DC3">
            <w:r w:rsidRPr="00D87DC3">
              <w:rPr>
                <w:rFonts w:ascii="Times New Roman" w:eastAsia="Times New Roman" w:hAnsi="Times New Roman" w:cs="Times New Roman"/>
              </w:rPr>
              <w:t xml:space="preserve">Asst. Dr. </w:t>
            </w:r>
            <w:proofErr w:type="spellStart"/>
            <w:r w:rsidRPr="00D87DC3">
              <w:rPr>
                <w:rFonts w:ascii="Times New Roman" w:eastAsia="Times New Roman" w:hAnsi="Times New Roman" w:cs="Times New Roman"/>
              </w:rPr>
              <w:t>Danilo</w:t>
            </w:r>
            <w:proofErr w:type="spellEnd"/>
            <w:r w:rsidRPr="00D87D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87DC3">
              <w:rPr>
                <w:rFonts w:ascii="Times New Roman" w:eastAsia="Times New Roman" w:hAnsi="Times New Roman" w:cs="Times New Roman"/>
              </w:rPr>
              <w:t>Capasso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24F6" w:rsidRDefault="007824F6"/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4F6" w:rsidRDefault="007824F6"/>
        </w:tc>
      </w:tr>
    </w:tbl>
    <w:p w:rsidR="007824F6" w:rsidRDefault="00EB781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9" w:type="dxa"/>
        <w:tblInd w:w="-107" w:type="dxa"/>
        <w:tblCellMar>
          <w:top w:w="43" w:type="dxa"/>
          <w:left w:w="106" w:type="dxa"/>
          <w:bottom w:w="4" w:type="dxa"/>
          <w:right w:w="67" w:type="dxa"/>
        </w:tblCellMar>
        <w:tblLook w:val="04A0" w:firstRow="1" w:lastRow="0" w:firstColumn="1" w:lastColumn="0" w:noHBand="0" w:noVBand="1"/>
      </w:tblPr>
      <w:tblGrid>
        <w:gridCol w:w="2584"/>
        <w:gridCol w:w="1124"/>
        <w:gridCol w:w="1983"/>
        <w:gridCol w:w="1081"/>
        <w:gridCol w:w="1978"/>
        <w:gridCol w:w="899"/>
      </w:tblGrid>
      <w:tr w:rsidR="00D87DC3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D87DC3" w:rsidRPr="00BA5F53" w:rsidRDefault="00D87DC3" w:rsidP="00D87DC3">
            <w:pPr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>Conditioned by other subjects</w:t>
            </w:r>
          </w:p>
        </w:tc>
      </w:tr>
      <w:tr w:rsidR="007824F6">
        <w:trPr>
          <w:trHeight w:val="264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87DC3">
        <w:trPr>
          <w:trHeight w:val="260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D87DC3" w:rsidRPr="00BA5F53" w:rsidRDefault="00D87DC3" w:rsidP="00D87DC3">
            <w:pPr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>Objectives of studying the subject:</w:t>
            </w:r>
          </w:p>
        </w:tc>
      </w:tr>
      <w:tr w:rsidR="007824F6" w:rsidTr="00D87DC3">
        <w:trPr>
          <w:trHeight w:val="77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F6" w:rsidRDefault="00D87DC3">
            <w:r w:rsidRPr="00D87DC3">
              <w:rPr>
                <w:rFonts w:ascii="Times New Roman" w:eastAsia="Times New Roman" w:hAnsi="Times New Roman" w:cs="Times New Roman"/>
                <w:sz w:val="26"/>
              </w:rPr>
              <w:t xml:space="preserve">The goal is for students to become familiar with basic topics related to the language of </w:t>
            </w:r>
            <w:r w:rsidRPr="00D87DC3">
              <w:rPr>
                <w:rFonts w:ascii="Times New Roman" w:eastAsia="Times New Roman" w:hAnsi="Times New Roman" w:cs="Times New Roman"/>
                <w:b/>
                <w:sz w:val="26"/>
              </w:rPr>
              <w:t>Italian mass media</w:t>
            </w:r>
            <w:r w:rsidRPr="00D87DC3">
              <w:rPr>
                <w:rFonts w:ascii="Times New Roman" w:eastAsia="Times New Roman" w:hAnsi="Times New Roman" w:cs="Times New Roman"/>
                <w:sz w:val="26"/>
              </w:rPr>
              <w:t xml:space="preserve"> and with modern theoretical and scientific approaches to study through lectures, reading professional literature, discussions and assignments in small groups.</w:t>
            </w:r>
          </w:p>
        </w:tc>
      </w:tr>
      <w:tr w:rsidR="00D87DC3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D87DC3" w:rsidRPr="00BA5F53" w:rsidRDefault="00D87DC3" w:rsidP="00D87DC3">
            <w:pPr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>Learning outcome (Acquired knowledge):</w:t>
            </w:r>
          </w:p>
        </w:tc>
      </w:tr>
      <w:tr w:rsidR="007824F6" w:rsidTr="00D87DC3">
        <w:trPr>
          <w:trHeight w:val="469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D87DC3">
            <w:r w:rsidRPr="00D87DC3">
              <w:rPr>
                <w:rFonts w:ascii="Times New Roman" w:eastAsia="Times New Roman" w:hAnsi="Times New Roman" w:cs="Times New Roman"/>
              </w:rPr>
              <w:t>Students will be competent to engage in any activity related to the language of the Italian mass media.</w:t>
            </w:r>
          </w:p>
        </w:tc>
      </w:tr>
      <w:tr w:rsidR="00D87DC3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D87DC3" w:rsidRPr="00BA5F53" w:rsidRDefault="00D87DC3" w:rsidP="00D87DC3">
            <w:pPr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>Course content:</w:t>
            </w:r>
          </w:p>
        </w:tc>
      </w:tr>
      <w:tr w:rsidR="007824F6" w:rsidTr="00D87DC3">
        <w:trPr>
          <w:trHeight w:val="90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F6" w:rsidRDefault="00D87DC3">
            <w:r w:rsidRPr="00D87DC3">
              <w:rPr>
                <w:rFonts w:ascii="Times New Roman" w:eastAsia="Times New Roman" w:hAnsi="Times New Roman" w:cs="Times New Roman"/>
                <w:sz w:val="26"/>
              </w:rPr>
              <w:t>The content includes the following topics: the concept of mass media language theory applied to the Italian language; communication theory/communication science; types and forms of mass media language; conceptualizations and definitions of sociolinguistics throughout the history of the Italian language; social functions of mass media language.</w:t>
            </w:r>
          </w:p>
        </w:tc>
      </w:tr>
      <w:tr w:rsidR="00E92842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E92842" w:rsidRPr="00BA5F53" w:rsidRDefault="00E92842" w:rsidP="00E92842">
            <w:pPr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>Teaching methods and mastering the material:</w:t>
            </w:r>
          </w:p>
        </w:tc>
      </w:tr>
      <w:tr w:rsidR="007824F6">
        <w:trPr>
          <w:trHeight w:val="770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2842" w:rsidRPr="00E92842" w:rsidRDefault="00E92842" w:rsidP="00E92842">
            <w:pPr>
              <w:spacing w:after="55"/>
              <w:rPr>
                <w:rFonts w:ascii="Times New Roman" w:eastAsia="Times New Roman" w:hAnsi="Times New Roman" w:cs="Times New Roman"/>
                <w:sz w:val="26"/>
              </w:rPr>
            </w:pPr>
            <w:r w:rsidRPr="00E92842">
              <w:rPr>
                <w:rFonts w:ascii="Times New Roman" w:eastAsia="Times New Roman" w:hAnsi="Times New Roman" w:cs="Times New Roman"/>
                <w:sz w:val="26"/>
              </w:rPr>
              <w:t xml:space="preserve">Teaching takes place in groups of up to 40 </w:t>
            </w:r>
            <w:proofErr w:type="gramStart"/>
            <w:r w:rsidRPr="00E92842">
              <w:rPr>
                <w:rFonts w:ascii="Times New Roman" w:eastAsia="Times New Roman" w:hAnsi="Times New Roman" w:cs="Times New Roman"/>
                <w:sz w:val="26"/>
              </w:rPr>
              <w:t>students,</w:t>
            </w:r>
            <w:proofErr w:type="gramEnd"/>
            <w:r w:rsidRPr="00E92842">
              <w:rPr>
                <w:rFonts w:ascii="Times New Roman" w:eastAsia="Times New Roman" w:hAnsi="Times New Roman" w:cs="Times New Roman"/>
                <w:sz w:val="26"/>
              </w:rPr>
              <w:t xml:space="preserve"> consists of lectures and seminars.</w:t>
            </w:r>
          </w:p>
          <w:p w:rsidR="007824F6" w:rsidRDefault="00E92842" w:rsidP="00E92842">
            <w:r w:rsidRPr="00E92842">
              <w:rPr>
                <w:rFonts w:ascii="Times New Roman" w:eastAsia="Times New Roman" w:hAnsi="Times New Roman" w:cs="Times New Roman"/>
                <w:sz w:val="26"/>
              </w:rPr>
              <w:t>At the beginning of the session, the teacher introduces the topic and encourages the students to think/discuss briefly. The teacher's presentation follows, after which there is a discussion supported by questions or tasks prepared by the teacher or one of the students. In the seminar part, the emphasis is on establishing a connection between the treated topic and sociolinguistic practice. Part of the student's duties takes place in a virtual environment on the faculty's website, where the teacher leaves materials that the students need to study, students submit assignments, conduct discussions on the forum, etc.</w:t>
            </w:r>
          </w:p>
        </w:tc>
      </w:tr>
      <w:tr w:rsidR="007824F6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7824F6" w:rsidRDefault="00E92842" w:rsidP="00E9284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>Literature</w:t>
            </w:r>
            <w:r w:rsidR="00EB781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</w:tr>
      <w:tr w:rsidR="007824F6">
        <w:trPr>
          <w:trHeight w:val="26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24F6" w:rsidRPr="005F42F0" w:rsidRDefault="00EB7813">
            <w:pPr>
              <w:spacing w:after="197" w:line="409" w:lineRule="auto"/>
              <w:ind w:left="1" w:right="36"/>
              <w:jc w:val="both"/>
              <w:rPr>
                <w:sz w:val="26"/>
                <w:szCs w:val="26"/>
              </w:rPr>
            </w:pPr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lastRenderedPageBreak/>
              <w:t xml:space="preserve">Lombardi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Vallauri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Edoardo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, 2006. La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linguistica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 in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pratica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. Bologna: Il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Mulino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.</w:t>
            </w:r>
            <w:r w:rsidRPr="005F42F0">
              <w:rPr>
                <w:rFonts w:ascii="MS Mincho" w:eastAsia="MS Mincho" w:hAnsi="MS Mincho" w:cs="MS Mincho"/>
                <w:color w:val="515151"/>
                <w:sz w:val="26"/>
                <w:szCs w:val="26"/>
              </w:rPr>
              <w:t xml:space="preserve">  </w:t>
            </w:r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Capp. II, III, IV, V (par. 2 e 3), VI, VII, VIII, IX, X. </w:t>
            </w:r>
          </w:p>
          <w:p w:rsidR="007824F6" w:rsidRPr="005F42F0" w:rsidRDefault="00EB7813">
            <w:pPr>
              <w:spacing w:after="339"/>
              <w:ind w:left="1"/>
              <w:rPr>
                <w:sz w:val="26"/>
                <w:szCs w:val="26"/>
              </w:rPr>
            </w:pPr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Bianchi Chiara, 2003.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Pragmatica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 del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Linguaggio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, Roma-Bari: La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Terza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. Cap. I, II, III. </w:t>
            </w:r>
          </w:p>
          <w:p w:rsidR="007824F6" w:rsidRPr="005F42F0" w:rsidRDefault="00EB7813">
            <w:pPr>
              <w:spacing w:after="91" w:line="403" w:lineRule="auto"/>
              <w:ind w:left="1"/>
              <w:rPr>
                <w:sz w:val="26"/>
                <w:szCs w:val="26"/>
              </w:rPr>
            </w:pP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Capozzi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, Maria Rosa. 2008. La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comunicazione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pubblicitaria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.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Aspetti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linguistici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,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sociali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 e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culturali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. Milano: Franco </w:t>
            </w:r>
            <w:proofErr w:type="spellStart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>Angeli</w:t>
            </w:r>
            <w:proofErr w:type="spellEnd"/>
            <w:r w:rsidRPr="005F42F0">
              <w:rPr>
                <w:rFonts w:ascii="Times New Roman" w:eastAsia="Times New Roman" w:hAnsi="Times New Roman" w:cs="Times New Roman"/>
                <w:color w:val="515151"/>
                <w:sz w:val="26"/>
                <w:szCs w:val="26"/>
              </w:rPr>
              <w:t xml:space="preserve">. Capp. 4 e 5. </w:t>
            </w:r>
          </w:p>
          <w:p w:rsidR="007824F6" w:rsidRPr="005F42F0" w:rsidRDefault="00EB7813">
            <w:pPr>
              <w:ind w:left="1"/>
              <w:rPr>
                <w:sz w:val="26"/>
                <w:szCs w:val="26"/>
              </w:rPr>
            </w:pPr>
            <w:r w:rsidRPr="005F42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2842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E92842" w:rsidRPr="00BA5F53" w:rsidRDefault="00E92842" w:rsidP="00E92842">
            <w:pPr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>Forms of knowledge testing and assessment:</w:t>
            </w:r>
          </w:p>
        </w:tc>
      </w:tr>
      <w:tr w:rsidR="007824F6">
        <w:trPr>
          <w:trHeight w:val="1758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92842" w:rsidP="00DD597C">
            <w:pPr>
              <w:ind w:left="1"/>
            </w:pPr>
            <w:r w:rsidRPr="00E92842">
              <w:rPr>
                <w:rFonts w:ascii="Times New Roman" w:eastAsia="Times New Roman" w:hAnsi="Times New Roman" w:cs="Times New Roman"/>
                <w:sz w:val="26"/>
              </w:rPr>
              <w:t xml:space="preserve">Students </w:t>
            </w:r>
            <w:proofErr w:type="gramStart"/>
            <w:r w:rsidRPr="00E92842">
              <w:rPr>
                <w:rFonts w:ascii="Times New Roman" w:eastAsia="Times New Roman" w:hAnsi="Times New Roman" w:cs="Times New Roman"/>
                <w:sz w:val="26"/>
              </w:rPr>
              <w:t>are expected</w:t>
            </w:r>
            <w:proofErr w:type="gramEnd"/>
            <w:r w:rsidRPr="00E92842">
              <w:rPr>
                <w:rFonts w:ascii="Times New Roman" w:eastAsia="Times New Roman" w:hAnsi="Times New Roman" w:cs="Times New Roman"/>
                <w:sz w:val="26"/>
              </w:rPr>
              <w:t xml:space="preserve"> to attend classes regularly, be prepared for classes and actively participate in cla</w:t>
            </w:r>
            <w:r w:rsidR="00DD597C">
              <w:rPr>
                <w:rFonts w:ascii="Times New Roman" w:eastAsia="Times New Roman" w:hAnsi="Times New Roman" w:cs="Times New Roman"/>
                <w:sz w:val="26"/>
              </w:rPr>
              <w:t xml:space="preserve">sses, especially in seminar paper. </w:t>
            </w:r>
            <w:bookmarkStart w:id="0" w:name="_GoBack"/>
            <w:bookmarkEnd w:id="0"/>
            <w:r w:rsidRPr="00E92842">
              <w:rPr>
                <w:rFonts w:ascii="Times New Roman" w:eastAsia="Times New Roman" w:hAnsi="Times New Roman" w:cs="Times New Roman"/>
                <w:sz w:val="26"/>
              </w:rPr>
              <w:t>During classes, students are also required to submit assignments in electronic form, depending on the specific instr</w:t>
            </w:r>
            <w:r>
              <w:rPr>
                <w:rFonts w:ascii="Times New Roman" w:eastAsia="Times New Roman" w:hAnsi="Times New Roman" w:cs="Times New Roman"/>
                <w:sz w:val="26"/>
              </w:rPr>
              <w:t>uctions of the professor</w:t>
            </w:r>
            <w:r w:rsidRPr="00E92842">
              <w:rPr>
                <w:rFonts w:ascii="Times New Roman" w:eastAsia="Times New Roman" w:hAnsi="Times New Roman" w:cs="Times New Roman"/>
                <w:sz w:val="26"/>
              </w:rPr>
              <w:t xml:space="preserve">. The final grade is awarded </w:t>
            </w:r>
            <w:proofErr w:type="gramStart"/>
            <w:r w:rsidRPr="00E92842">
              <w:rPr>
                <w:rFonts w:ascii="Times New Roman" w:eastAsia="Times New Roman" w:hAnsi="Times New Roman" w:cs="Times New Roman"/>
                <w:sz w:val="26"/>
              </w:rPr>
              <w:t>on the basis of</w:t>
            </w:r>
            <w:proofErr w:type="gramEnd"/>
            <w:r w:rsidRPr="00E92842">
              <w:rPr>
                <w:rFonts w:ascii="Times New Roman" w:eastAsia="Times New Roman" w:hAnsi="Times New Roman" w:cs="Times New Roman"/>
                <w:sz w:val="26"/>
              </w:rPr>
              <w:t xml:space="preserve"> the written exam, and the work in the seminar is also taken into account.</w:t>
            </w:r>
          </w:p>
        </w:tc>
      </w:tr>
      <w:tr w:rsidR="007824F6" w:rsidTr="00D87DC3">
        <w:trPr>
          <w:trHeight w:val="26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24F6" w:rsidTr="00D87DC3">
        <w:trPr>
          <w:trHeight w:val="265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92842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E92842" w:rsidRPr="00BA5F53" w:rsidRDefault="00E92842" w:rsidP="00E92842">
            <w:pPr>
              <w:rPr>
                <w:rFonts w:ascii="Times New Roman" w:hAnsi="Times New Roman" w:cs="Times New Roman"/>
              </w:rPr>
            </w:pPr>
            <w:r w:rsidRPr="00BA5F53">
              <w:rPr>
                <w:rFonts w:ascii="Times New Roman" w:eastAsia="Times New Roman" w:hAnsi="Times New Roman" w:cs="Times New Roman"/>
                <w:b/>
              </w:rPr>
              <w:t>Special indication for the subject:</w:t>
            </w:r>
          </w:p>
        </w:tc>
      </w:tr>
      <w:tr w:rsidR="007824F6">
        <w:trPr>
          <w:trHeight w:val="264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F6" w:rsidRDefault="00EB7813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824F6">
        <w:trPr>
          <w:trHeight w:val="259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:rsidR="007824F6" w:rsidRDefault="00E92842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and surname of the professor </w:t>
            </w:r>
            <w:r w:rsidRPr="00E92842">
              <w:rPr>
                <w:rFonts w:ascii="Times New Roman" w:eastAsia="Times New Roman" w:hAnsi="Times New Roman" w:cs="Times New Roman"/>
                <w:b/>
              </w:rPr>
              <w:t xml:space="preserve">who prepared the data: </w:t>
            </w:r>
            <w:proofErr w:type="spellStart"/>
            <w:r w:rsidRPr="00E92842">
              <w:rPr>
                <w:rFonts w:ascii="Times New Roman" w:eastAsia="Times New Roman" w:hAnsi="Times New Roman" w:cs="Times New Roman"/>
                <w:b/>
              </w:rPr>
              <w:t>Danilo</w:t>
            </w:r>
            <w:proofErr w:type="spellEnd"/>
            <w:r w:rsidRPr="00E9284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92842">
              <w:rPr>
                <w:rFonts w:ascii="Times New Roman" w:eastAsia="Times New Roman" w:hAnsi="Times New Roman" w:cs="Times New Roman"/>
                <w:b/>
              </w:rPr>
              <w:t>Kapaso</w:t>
            </w:r>
            <w:proofErr w:type="spellEnd"/>
          </w:p>
        </w:tc>
      </w:tr>
    </w:tbl>
    <w:p w:rsidR="007824F6" w:rsidRDefault="00EB7813">
      <w:pPr>
        <w:spacing w:after="0"/>
        <w:ind w:left="423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7824F6">
      <w:pgSz w:w="12240" w:h="15840"/>
      <w:pgMar w:top="1445" w:right="6139" w:bottom="156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F6"/>
    <w:rsid w:val="005F42F0"/>
    <w:rsid w:val="007824F6"/>
    <w:rsid w:val="00D87DC3"/>
    <w:rsid w:val="00DD597C"/>
    <w:rsid w:val="00E92842"/>
    <w:rsid w:val="00E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9CF2"/>
  <w15:docId w15:val="{CB0FAFCC-C29E-4454-9BE9-E48CEEDD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Terra</cp:lastModifiedBy>
  <cp:revision>5</cp:revision>
  <dcterms:created xsi:type="dcterms:W3CDTF">2024-02-14T09:28:00Z</dcterms:created>
  <dcterms:modified xsi:type="dcterms:W3CDTF">2024-02-18T23:42:00Z</dcterms:modified>
</cp:coreProperties>
</file>