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1"/>
        <w:gridCol w:w="102"/>
        <w:gridCol w:w="434"/>
        <w:gridCol w:w="652"/>
        <w:gridCol w:w="7171"/>
      </w:tblGrid>
      <w:tr w:rsidR="00ED1D72" w14:paraId="604B7CD2" w14:textId="77777777" w:rsidTr="00695D39">
        <w:trPr>
          <w:trHeight w:val="98"/>
        </w:trPr>
        <w:tc>
          <w:tcPr>
            <w:tcW w:w="1188" w:type="dxa"/>
            <w:vMerge w:val="restart"/>
            <w:tcBorders>
              <w:top w:val="single" w:sz="4" w:space="0" w:color="000000"/>
              <w:left w:val="single" w:sz="4" w:space="0" w:color="000000"/>
              <w:bottom w:val="single" w:sz="4" w:space="0" w:color="000000"/>
              <w:right w:val="nil"/>
            </w:tcBorders>
          </w:tcPr>
          <w:p w14:paraId="6D6FA6B2" w14:textId="56B82F06" w:rsidR="00ED1D72" w:rsidRDefault="00695D39">
            <w:pPr>
              <w:ind w:right="33"/>
              <w:jc w:val="right"/>
            </w:pPr>
            <w:r>
              <w:rPr>
                <w:noProof/>
              </w:rPr>
              <w:drawing>
                <wp:inline distT="0" distB="0" distL="0" distR="0" wp14:anchorId="72F0D111" wp14:editId="1B917BDA">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005B6C0B">
              <w:rPr>
                <w:rFonts w:ascii="Times New Roman" w:eastAsia="Times New Roman" w:hAnsi="Times New Roman" w:cs="Times New Roman"/>
                <w:color w:val="0000FF"/>
                <w:sz w:val="10"/>
              </w:rPr>
              <w:t xml:space="preserve">          </w:t>
            </w:r>
          </w:p>
        </w:tc>
        <w:tc>
          <w:tcPr>
            <w:tcW w:w="101" w:type="dxa"/>
            <w:tcBorders>
              <w:top w:val="single" w:sz="4" w:space="0" w:color="000000"/>
              <w:left w:val="single" w:sz="2" w:space="0" w:color="0000FF"/>
              <w:bottom w:val="single" w:sz="2" w:space="0" w:color="0000FF"/>
              <w:right w:val="double" w:sz="2" w:space="0" w:color="0000FF"/>
            </w:tcBorders>
          </w:tcPr>
          <w:p w14:paraId="6F5ADD7E" w14:textId="77777777" w:rsidR="00ED1D72" w:rsidRDefault="00ED1D72"/>
        </w:tc>
        <w:tc>
          <w:tcPr>
            <w:tcW w:w="102" w:type="dxa"/>
            <w:tcBorders>
              <w:top w:val="single" w:sz="4" w:space="0" w:color="000000"/>
              <w:left w:val="double" w:sz="2" w:space="0" w:color="0000FF"/>
              <w:bottom w:val="single" w:sz="2" w:space="0" w:color="0000FF"/>
              <w:right w:val="single" w:sz="2" w:space="0" w:color="0000FF"/>
            </w:tcBorders>
          </w:tcPr>
          <w:p w14:paraId="0BF01B18" w14:textId="77777777" w:rsidR="00ED1D72" w:rsidRDefault="00ED1D72"/>
        </w:tc>
        <w:tc>
          <w:tcPr>
            <w:tcW w:w="434" w:type="dxa"/>
            <w:vMerge w:val="restart"/>
            <w:tcBorders>
              <w:top w:val="single" w:sz="4" w:space="0" w:color="000000"/>
              <w:left w:val="nil"/>
              <w:bottom w:val="single" w:sz="4" w:space="0" w:color="000000"/>
              <w:right w:val="single" w:sz="2" w:space="0" w:color="FFFFFF"/>
            </w:tcBorders>
          </w:tcPr>
          <w:p w14:paraId="154C25FD" w14:textId="77777777" w:rsidR="00ED1D72" w:rsidRDefault="005B6C0B">
            <w:pPr>
              <w:ind w:left="123"/>
              <w:jc w:val="center"/>
            </w:pPr>
            <w:r>
              <w:rPr>
                <w:rFonts w:ascii="Times New Roman" w:eastAsia="Times New Roman" w:hAnsi="Times New Roman" w:cs="Times New Roman"/>
                <w:sz w:val="10"/>
              </w:rPr>
              <w:t xml:space="preserve"> </w:t>
            </w:r>
          </w:p>
        </w:tc>
        <w:tc>
          <w:tcPr>
            <w:tcW w:w="7823" w:type="dxa"/>
            <w:gridSpan w:val="2"/>
            <w:vMerge w:val="restart"/>
            <w:tcBorders>
              <w:top w:val="single" w:sz="4" w:space="0" w:color="000000"/>
              <w:left w:val="single" w:sz="2" w:space="0" w:color="FFFFFF"/>
              <w:bottom w:val="single" w:sz="4" w:space="0" w:color="000000"/>
              <w:right w:val="single" w:sz="4" w:space="0" w:color="000000"/>
            </w:tcBorders>
            <w:vAlign w:val="bottom"/>
          </w:tcPr>
          <w:p w14:paraId="2E492FB8" w14:textId="77777777" w:rsidR="00695D39" w:rsidRDefault="00695D39" w:rsidP="00695D39">
            <w:pPr>
              <w:ind w:left="1110"/>
              <w:rPr>
                <w:rFonts w:ascii="Times New Roman" w:eastAsia="Times New Roman" w:hAnsi="Times New Roman" w:cs="Times New Roman"/>
                <w:b/>
                <w:sz w:val="24"/>
                <w:szCs w:val="24"/>
              </w:rPr>
            </w:pPr>
          </w:p>
          <w:p w14:paraId="294CCEF1" w14:textId="794A3110" w:rsidR="00695D39" w:rsidRPr="00A06C44" w:rsidRDefault="00695D39" w:rsidP="00695D39">
            <w:pPr>
              <w:ind w:left="1110"/>
              <w:rPr>
                <w:rFonts w:ascii="Times New Roman" w:eastAsia="Times New Roman" w:hAnsi="Times New Roman" w:cs="Times New Roman"/>
                <w:b/>
                <w:sz w:val="24"/>
                <w:szCs w:val="24"/>
              </w:rPr>
            </w:pPr>
            <w:r w:rsidRPr="00A06C44">
              <w:rPr>
                <w:rFonts w:ascii="Times New Roman" w:eastAsia="Times New Roman" w:hAnsi="Times New Roman" w:cs="Times New Roman"/>
                <w:b/>
                <w:sz w:val="24"/>
                <w:szCs w:val="24"/>
              </w:rPr>
              <w:t>UNIVERSITY OF BANJA LUKA</w:t>
            </w:r>
          </w:p>
          <w:p w14:paraId="02ABBB7C" w14:textId="77777777" w:rsidR="00695D39" w:rsidRPr="00A06C44" w:rsidRDefault="00695D39" w:rsidP="00695D39">
            <w:pPr>
              <w:ind w:left="1110"/>
              <w:rPr>
                <w:rFonts w:ascii="Times New Roman" w:eastAsia="Times New Roman" w:hAnsi="Times New Roman" w:cs="Times New Roman"/>
                <w:b/>
                <w:sz w:val="24"/>
                <w:szCs w:val="24"/>
              </w:rPr>
            </w:pPr>
            <w:r w:rsidRPr="00A06C44">
              <w:rPr>
                <w:rFonts w:ascii="Times New Roman" w:eastAsia="Times New Roman" w:hAnsi="Times New Roman" w:cs="Times New Roman"/>
                <w:b/>
                <w:sz w:val="24"/>
                <w:szCs w:val="24"/>
              </w:rPr>
              <w:t xml:space="preserve"> </w:t>
            </w:r>
          </w:p>
          <w:p w14:paraId="114445E9" w14:textId="77777777" w:rsidR="00695D39" w:rsidRPr="00A06C44" w:rsidRDefault="00695D39" w:rsidP="00695D39">
            <w:pPr>
              <w:spacing w:after="53"/>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                      FACULTY OF PHILOLOGY</w:t>
            </w:r>
            <w:r w:rsidRPr="00A06C44">
              <w:rPr>
                <w:rFonts w:ascii="Times New Roman" w:eastAsia="Times New Roman" w:hAnsi="Times New Roman" w:cs="Times New Roman"/>
                <w:sz w:val="24"/>
                <w:szCs w:val="24"/>
                <w:vertAlign w:val="superscript"/>
              </w:rPr>
              <w:tab/>
            </w:r>
          </w:p>
          <w:p w14:paraId="530BF0C6" w14:textId="585AAA86" w:rsidR="00ED1D72" w:rsidRDefault="00ED1D72">
            <w:pPr>
              <w:spacing w:after="53"/>
              <w:ind w:left="1391"/>
            </w:pPr>
          </w:p>
          <w:p w14:paraId="0C20C5A8" w14:textId="77777777" w:rsidR="00ED1D72" w:rsidRDefault="005B6C0B">
            <w:pPr>
              <w:ind w:left="1"/>
            </w:pPr>
            <w:r>
              <w:rPr>
                <w:rFonts w:ascii="Times New Roman" w:eastAsia="Times New Roman" w:hAnsi="Times New Roman" w:cs="Times New Roman"/>
                <w:sz w:val="26"/>
              </w:rPr>
              <w:t xml:space="preserve"> </w:t>
            </w:r>
          </w:p>
        </w:tc>
      </w:tr>
      <w:tr w:rsidR="00ED1D72" w14:paraId="09321544" w14:textId="77777777" w:rsidTr="00695D39">
        <w:trPr>
          <w:trHeight w:val="1051"/>
        </w:trPr>
        <w:tc>
          <w:tcPr>
            <w:tcW w:w="0" w:type="auto"/>
            <w:vMerge/>
            <w:tcBorders>
              <w:top w:val="nil"/>
              <w:left w:val="single" w:sz="4" w:space="0" w:color="000000"/>
              <w:bottom w:val="single" w:sz="4" w:space="0" w:color="000000"/>
              <w:right w:val="nil"/>
            </w:tcBorders>
          </w:tcPr>
          <w:p w14:paraId="4B00665F" w14:textId="77777777" w:rsidR="00ED1D72" w:rsidRDefault="00ED1D72"/>
        </w:tc>
        <w:tc>
          <w:tcPr>
            <w:tcW w:w="101" w:type="dxa"/>
            <w:tcBorders>
              <w:top w:val="single" w:sz="2" w:space="0" w:color="0000FF"/>
              <w:left w:val="nil"/>
              <w:bottom w:val="single" w:sz="4" w:space="0" w:color="000000"/>
              <w:right w:val="nil"/>
            </w:tcBorders>
          </w:tcPr>
          <w:p w14:paraId="69641B6F" w14:textId="427E2D23" w:rsidR="00ED1D72" w:rsidRDefault="00ED1D72">
            <w:pPr>
              <w:ind w:left="-508" w:right="-538"/>
            </w:pPr>
          </w:p>
        </w:tc>
        <w:tc>
          <w:tcPr>
            <w:tcW w:w="102" w:type="dxa"/>
            <w:tcBorders>
              <w:top w:val="single" w:sz="2" w:space="0" w:color="0000FF"/>
              <w:left w:val="nil"/>
              <w:bottom w:val="single" w:sz="4" w:space="0" w:color="000000"/>
              <w:right w:val="nil"/>
            </w:tcBorders>
            <w:vAlign w:val="bottom"/>
          </w:tcPr>
          <w:p w14:paraId="407D51C2" w14:textId="77777777" w:rsidR="00ED1D72" w:rsidRDefault="00ED1D72"/>
        </w:tc>
        <w:tc>
          <w:tcPr>
            <w:tcW w:w="0" w:type="auto"/>
            <w:vMerge/>
            <w:tcBorders>
              <w:top w:val="nil"/>
              <w:left w:val="nil"/>
              <w:bottom w:val="single" w:sz="4" w:space="0" w:color="000000"/>
              <w:right w:val="single" w:sz="2" w:space="0" w:color="FFFFFF"/>
            </w:tcBorders>
          </w:tcPr>
          <w:p w14:paraId="22B6508D" w14:textId="77777777" w:rsidR="00ED1D72" w:rsidRDefault="00ED1D72"/>
        </w:tc>
        <w:tc>
          <w:tcPr>
            <w:tcW w:w="0" w:type="auto"/>
            <w:gridSpan w:val="2"/>
            <w:vMerge/>
            <w:tcBorders>
              <w:top w:val="nil"/>
              <w:left w:val="single" w:sz="2" w:space="0" w:color="FFFFFF"/>
              <w:bottom w:val="single" w:sz="4" w:space="0" w:color="000000"/>
              <w:right w:val="single" w:sz="4" w:space="0" w:color="000000"/>
            </w:tcBorders>
          </w:tcPr>
          <w:p w14:paraId="473CF93B" w14:textId="77777777" w:rsidR="00ED1D72" w:rsidRDefault="00ED1D72"/>
        </w:tc>
      </w:tr>
      <w:tr w:rsidR="00695D39" w14:paraId="19158CF1" w14:textId="77777777" w:rsidTr="00695D39">
        <w:trPr>
          <w:trHeight w:val="289"/>
        </w:trPr>
        <w:tc>
          <w:tcPr>
            <w:tcW w:w="1289" w:type="dxa"/>
            <w:gridSpan w:val="2"/>
            <w:tcBorders>
              <w:top w:val="single" w:sz="4" w:space="0" w:color="000000"/>
              <w:left w:val="single" w:sz="4" w:space="0" w:color="000000"/>
              <w:bottom w:val="single" w:sz="4" w:space="0" w:color="000000"/>
              <w:right w:val="nil"/>
            </w:tcBorders>
          </w:tcPr>
          <w:p w14:paraId="61669A75" w14:textId="77777777" w:rsidR="00695D39" w:rsidRDefault="00695D39" w:rsidP="00695D39"/>
        </w:tc>
        <w:tc>
          <w:tcPr>
            <w:tcW w:w="8359" w:type="dxa"/>
            <w:gridSpan w:val="4"/>
            <w:tcBorders>
              <w:top w:val="single" w:sz="4" w:space="0" w:color="000000"/>
              <w:left w:val="nil"/>
              <w:bottom w:val="single" w:sz="4" w:space="0" w:color="000000"/>
              <w:right w:val="single" w:sz="4" w:space="0" w:color="000000"/>
            </w:tcBorders>
          </w:tcPr>
          <w:p w14:paraId="384062A8" w14:textId="44AF0EB4" w:rsidR="00695D39" w:rsidRDefault="00695D39" w:rsidP="00695D39">
            <w:pPr>
              <w:ind w:left="1941"/>
            </w:pPr>
            <w:r w:rsidRPr="00A06C44">
              <w:rPr>
                <w:rFonts w:ascii="Times New Roman" w:eastAsia="Times New Roman" w:hAnsi="Times New Roman" w:cs="Times New Roman"/>
                <w:b/>
                <w:sz w:val="24"/>
                <w:szCs w:val="24"/>
              </w:rPr>
              <w:t>Graduate academic studies</w:t>
            </w:r>
          </w:p>
        </w:tc>
      </w:tr>
      <w:tr w:rsidR="00926FE7" w14:paraId="5EF97579" w14:textId="77777777" w:rsidTr="00695D39">
        <w:trPr>
          <w:trHeight w:val="284"/>
        </w:trPr>
        <w:tc>
          <w:tcPr>
            <w:tcW w:w="1289" w:type="dxa"/>
            <w:gridSpan w:val="2"/>
            <w:tcBorders>
              <w:top w:val="single" w:sz="4" w:space="0" w:color="000000"/>
              <w:left w:val="single" w:sz="4" w:space="0" w:color="000000"/>
              <w:bottom w:val="single" w:sz="4" w:space="0" w:color="000000"/>
              <w:right w:val="nil"/>
            </w:tcBorders>
          </w:tcPr>
          <w:p w14:paraId="6ACCBF15" w14:textId="394331D2" w:rsidR="00926FE7" w:rsidRDefault="00926FE7" w:rsidP="00926FE7">
            <w:pPr>
              <w:ind w:left="108"/>
              <w:jc w:val="both"/>
            </w:pPr>
            <w:r w:rsidRPr="00A06C44">
              <w:rPr>
                <w:rFonts w:ascii="Times New Roman" w:eastAsia="Times New Roman" w:hAnsi="Times New Roman" w:cs="Times New Roman"/>
                <w:b/>
                <w:sz w:val="24"/>
                <w:szCs w:val="24"/>
              </w:rPr>
              <w:t>Study program</w:t>
            </w:r>
          </w:p>
        </w:tc>
        <w:tc>
          <w:tcPr>
            <w:tcW w:w="1188" w:type="dxa"/>
            <w:gridSpan w:val="3"/>
            <w:tcBorders>
              <w:top w:val="single" w:sz="4" w:space="0" w:color="000000"/>
              <w:left w:val="nil"/>
              <w:bottom w:val="single" w:sz="4" w:space="0" w:color="000000"/>
              <w:right w:val="single" w:sz="4" w:space="0" w:color="000000"/>
            </w:tcBorders>
          </w:tcPr>
          <w:p w14:paraId="4BCB780C" w14:textId="61DB1B28" w:rsidR="00926FE7" w:rsidRDefault="00926FE7" w:rsidP="00926FE7">
            <w:pPr>
              <w:ind w:left="-18"/>
              <w:jc w:val="both"/>
            </w:pPr>
          </w:p>
        </w:tc>
        <w:tc>
          <w:tcPr>
            <w:tcW w:w="7171" w:type="dxa"/>
            <w:tcBorders>
              <w:top w:val="single" w:sz="4" w:space="0" w:color="000000"/>
              <w:left w:val="single" w:sz="4" w:space="0" w:color="000000"/>
              <w:bottom w:val="single" w:sz="4" w:space="0" w:color="000000"/>
              <w:right w:val="single" w:sz="4" w:space="0" w:color="000000"/>
            </w:tcBorders>
            <w:shd w:val="clear" w:color="auto" w:fill="B3B3B3"/>
          </w:tcPr>
          <w:p w14:paraId="57C94218" w14:textId="34186C21" w:rsidR="00926FE7" w:rsidRDefault="00926FE7" w:rsidP="00926FE7">
            <w:pPr>
              <w:ind w:left="107"/>
            </w:pPr>
            <w:r w:rsidRPr="00A06C44">
              <w:rPr>
                <w:rFonts w:ascii="Times New Roman" w:eastAsia="Times New Roman" w:hAnsi="Times New Roman" w:cs="Times New Roman"/>
                <w:b/>
                <w:sz w:val="24"/>
                <w:szCs w:val="24"/>
              </w:rPr>
              <w:t>Methodology of language and literature teaching</w:t>
            </w:r>
            <w:r>
              <w:rPr>
                <w:rFonts w:ascii="Times New Roman" w:eastAsia="Times New Roman" w:hAnsi="Times New Roman" w:cs="Times New Roman"/>
                <w:b/>
                <w:sz w:val="24"/>
                <w:szCs w:val="24"/>
              </w:rPr>
              <w:t xml:space="preserve"> – Master program</w:t>
            </w:r>
          </w:p>
        </w:tc>
      </w:tr>
    </w:tbl>
    <w:p w14:paraId="231C8C3C" w14:textId="77777777" w:rsidR="00ED1D72" w:rsidRDefault="005B6C0B">
      <w:pPr>
        <w:spacing w:after="0"/>
        <w:ind w:left="360"/>
        <w:jc w:val="both"/>
      </w:pPr>
      <w:r>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26" w:type="dxa"/>
        </w:tblCellMar>
        <w:tblLook w:val="04A0" w:firstRow="1" w:lastRow="0" w:firstColumn="1" w:lastColumn="0" w:noHBand="0" w:noVBand="1"/>
      </w:tblPr>
      <w:tblGrid>
        <w:gridCol w:w="1848"/>
        <w:gridCol w:w="1850"/>
        <w:gridCol w:w="1630"/>
        <w:gridCol w:w="1620"/>
        <w:gridCol w:w="2699"/>
      </w:tblGrid>
      <w:tr w:rsidR="00ED1D72" w14:paraId="2B532498"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193C9525" w14:textId="215E533E" w:rsidR="00ED1D72" w:rsidRDefault="00B23109">
            <w:pPr>
              <w:jc w:val="both"/>
            </w:pPr>
            <w:r>
              <w:rPr>
                <w:rFonts w:ascii="Times New Roman" w:eastAsia="Times New Roman" w:hAnsi="Times New Roman" w:cs="Times New Roman"/>
                <w:b/>
              </w:rPr>
              <w:t>Subject</w:t>
            </w:r>
            <w:r w:rsidR="005B6C0B">
              <w:rPr>
                <w:rFonts w:ascii="Times New Roman" w:eastAsia="Times New Roman" w:hAnsi="Times New Roman" w:cs="Times New Roman"/>
                <w:b/>
              </w:rPr>
              <w:t xml:space="preserve"> </w:t>
            </w:r>
          </w:p>
        </w:tc>
        <w:tc>
          <w:tcPr>
            <w:tcW w:w="3480" w:type="dxa"/>
            <w:gridSpan w:val="2"/>
            <w:tcBorders>
              <w:top w:val="single" w:sz="4" w:space="0" w:color="000000"/>
              <w:left w:val="single" w:sz="4" w:space="0" w:color="000000"/>
              <w:bottom w:val="single" w:sz="4" w:space="0" w:color="000000"/>
              <w:right w:val="nil"/>
            </w:tcBorders>
            <w:shd w:val="clear" w:color="auto" w:fill="B3B3B3"/>
          </w:tcPr>
          <w:p w14:paraId="44325A86" w14:textId="459038E2" w:rsidR="00ED1D72" w:rsidRDefault="00B23109">
            <w:pPr>
              <w:jc w:val="both"/>
            </w:pPr>
            <w:r w:rsidRPr="00B23109">
              <w:rPr>
                <w:rFonts w:ascii="Times New Roman" w:eastAsia="Times New Roman" w:hAnsi="Times New Roman" w:cs="Times New Roman"/>
                <w:b/>
              </w:rPr>
              <w:t>Organization of contemporary teaching</w:t>
            </w:r>
          </w:p>
        </w:tc>
        <w:tc>
          <w:tcPr>
            <w:tcW w:w="1620" w:type="dxa"/>
            <w:tcBorders>
              <w:top w:val="single" w:sz="4" w:space="0" w:color="000000"/>
              <w:left w:val="nil"/>
              <w:bottom w:val="single" w:sz="4" w:space="0" w:color="000000"/>
              <w:right w:val="nil"/>
            </w:tcBorders>
            <w:shd w:val="clear" w:color="auto" w:fill="B3B3B3"/>
          </w:tcPr>
          <w:p w14:paraId="5AC7955A" w14:textId="77777777" w:rsidR="00ED1D72" w:rsidRDefault="00ED1D72"/>
        </w:tc>
        <w:tc>
          <w:tcPr>
            <w:tcW w:w="2699" w:type="dxa"/>
            <w:tcBorders>
              <w:top w:val="single" w:sz="4" w:space="0" w:color="000000"/>
              <w:left w:val="nil"/>
              <w:bottom w:val="single" w:sz="4" w:space="0" w:color="000000"/>
              <w:right w:val="single" w:sz="4" w:space="0" w:color="000000"/>
            </w:tcBorders>
            <w:shd w:val="clear" w:color="auto" w:fill="B3B3B3"/>
          </w:tcPr>
          <w:p w14:paraId="35B99342" w14:textId="77777777" w:rsidR="00ED1D72" w:rsidRDefault="00ED1D72"/>
        </w:tc>
      </w:tr>
      <w:tr w:rsidR="00B23109" w14:paraId="13BBFAFD"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7E66844C" w14:textId="5E98C787" w:rsidR="00B23109" w:rsidRDefault="00B23109" w:rsidP="00B23109">
            <w:r w:rsidRPr="00A06C44">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3DEE4B13" w14:textId="6CBEC818" w:rsidR="00B23109" w:rsidRDefault="00B23109" w:rsidP="00B23109">
            <w:pPr>
              <w:ind w:left="5" w:right="37"/>
              <w:jc w:val="center"/>
            </w:pPr>
            <w:r w:rsidRPr="00A06C44">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79C2EE4B" w14:textId="57940E00" w:rsidR="00B23109" w:rsidRDefault="00B23109" w:rsidP="00B23109">
            <w:pPr>
              <w:ind w:right="78"/>
              <w:jc w:val="center"/>
            </w:pPr>
            <w:r w:rsidRPr="00A06C44">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463C9DA5" w14:textId="5DA53A1E" w:rsidR="00B23109" w:rsidRDefault="00B23109" w:rsidP="00B23109">
            <w:pPr>
              <w:ind w:left="71"/>
            </w:pPr>
            <w:r w:rsidRPr="00A06C44">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1E789A16" w14:textId="4D37D924" w:rsidR="00B23109" w:rsidRDefault="00B23109" w:rsidP="00B23109">
            <w:pPr>
              <w:ind w:right="77"/>
              <w:jc w:val="center"/>
            </w:pPr>
            <w:r w:rsidRPr="00A06C44">
              <w:rPr>
                <w:rFonts w:ascii="Times New Roman" w:eastAsia="Times New Roman" w:hAnsi="Times New Roman" w:cs="Times New Roman"/>
                <w:b/>
                <w:sz w:val="24"/>
                <w:szCs w:val="24"/>
              </w:rPr>
              <w:t>Number of ECTS credits</w:t>
            </w:r>
          </w:p>
        </w:tc>
      </w:tr>
      <w:tr w:rsidR="00ED1D72" w14:paraId="70027094"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2D9869D8" w14:textId="77777777" w:rsidR="00ED1D72" w:rsidRDefault="005B6C0B">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4B214435" w14:textId="5238C433" w:rsidR="00ED1D72" w:rsidRDefault="00B23109">
            <w:pPr>
              <w:ind w:right="83"/>
              <w:jc w:val="center"/>
            </w:pPr>
            <w:r>
              <w:rPr>
                <w:rFonts w:ascii="Times New Roman" w:eastAsia="Times New Roman" w:hAnsi="Times New Roman" w:cs="Times New Roman"/>
              </w:rPr>
              <w:t>Elective</w:t>
            </w:r>
          </w:p>
        </w:tc>
        <w:tc>
          <w:tcPr>
            <w:tcW w:w="1630" w:type="dxa"/>
            <w:tcBorders>
              <w:top w:val="single" w:sz="4" w:space="0" w:color="000000"/>
              <w:left w:val="single" w:sz="4" w:space="0" w:color="000000"/>
              <w:bottom w:val="single" w:sz="4" w:space="0" w:color="000000"/>
              <w:right w:val="single" w:sz="4" w:space="0" w:color="000000"/>
            </w:tcBorders>
          </w:tcPr>
          <w:p w14:paraId="56427CB2" w14:textId="77777777" w:rsidR="00ED1D72" w:rsidRDefault="005B6C0B">
            <w:pPr>
              <w:ind w:right="82"/>
              <w:jc w:val="center"/>
            </w:pPr>
            <w:r>
              <w:rPr>
                <w:rFonts w:ascii="Times New Roman" w:eastAsia="Times New Roman" w:hAnsi="Times New Roman" w:cs="Times New Roman"/>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4FB69187" w14:textId="77777777" w:rsidR="00ED1D72" w:rsidRDefault="005B6C0B">
            <w:pPr>
              <w:ind w:right="78"/>
              <w:jc w:val="center"/>
            </w:pPr>
            <w:r>
              <w:rPr>
                <w:rFonts w:ascii="Times New Roman" w:eastAsia="Times New Roman" w:hAnsi="Times New Roman" w:cs="Times New Roman"/>
              </w:rPr>
              <w:t xml:space="preserve">2 + 2 </w:t>
            </w:r>
          </w:p>
        </w:tc>
        <w:tc>
          <w:tcPr>
            <w:tcW w:w="2699" w:type="dxa"/>
            <w:tcBorders>
              <w:top w:val="single" w:sz="4" w:space="0" w:color="000000"/>
              <w:left w:val="single" w:sz="4" w:space="0" w:color="000000"/>
              <w:bottom w:val="single" w:sz="4" w:space="0" w:color="000000"/>
              <w:right w:val="single" w:sz="4" w:space="0" w:color="000000"/>
            </w:tcBorders>
          </w:tcPr>
          <w:p w14:paraId="29F9D238" w14:textId="77777777" w:rsidR="00ED1D72" w:rsidRDefault="005B6C0B">
            <w:pPr>
              <w:ind w:right="81"/>
              <w:jc w:val="center"/>
            </w:pPr>
            <w:r>
              <w:rPr>
                <w:rFonts w:ascii="Times New Roman" w:eastAsia="Times New Roman" w:hAnsi="Times New Roman" w:cs="Times New Roman"/>
              </w:rPr>
              <w:t xml:space="preserve">5 </w:t>
            </w:r>
          </w:p>
        </w:tc>
      </w:tr>
      <w:tr w:rsidR="00ED1D72" w14:paraId="582648EE"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28A5CD7C" w14:textId="47D70710" w:rsidR="00ED1D72" w:rsidRDefault="00B23109">
            <w:r>
              <w:rPr>
                <w:rFonts w:ascii="Times New Roman" w:eastAsia="Times New Roman" w:hAnsi="Times New Roman" w:cs="Times New Roman"/>
                <w:b/>
              </w:rPr>
              <w:t>Professors</w:t>
            </w:r>
          </w:p>
        </w:tc>
        <w:tc>
          <w:tcPr>
            <w:tcW w:w="3480" w:type="dxa"/>
            <w:gridSpan w:val="2"/>
            <w:tcBorders>
              <w:top w:val="single" w:sz="4" w:space="0" w:color="000000"/>
              <w:left w:val="single" w:sz="4" w:space="0" w:color="000000"/>
              <w:bottom w:val="single" w:sz="4" w:space="0" w:color="000000"/>
              <w:right w:val="nil"/>
            </w:tcBorders>
          </w:tcPr>
          <w:p w14:paraId="7BC8E14A" w14:textId="3A7D03C0" w:rsidR="00ED1D72" w:rsidRDefault="00B23109">
            <w:r>
              <w:rPr>
                <w:rFonts w:ascii="Times New Roman" w:eastAsia="Times New Roman" w:hAnsi="Times New Roman" w:cs="Times New Roman"/>
              </w:rPr>
              <w:t xml:space="preserve">Prof.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Radanović</w:t>
            </w:r>
            <w:proofErr w:type="spellEnd"/>
          </w:p>
        </w:tc>
        <w:tc>
          <w:tcPr>
            <w:tcW w:w="1620" w:type="dxa"/>
            <w:tcBorders>
              <w:top w:val="single" w:sz="4" w:space="0" w:color="000000"/>
              <w:left w:val="nil"/>
              <w:bottom w:val="single" w:sz="4" w:space="0" w:color="000000"/>
              <w:right w:val="nil"/>
            </w:tcBorders>
          </w:tcPr>
          <w:p w14:paraId="6477CC84" w14:textId="77777777" w:rsidR="00ED1D72" w:rsidRDefault="00ED1D72"/>
        </w:tc>
        <w:tc>
          <w:tcPr>
            <w:tcW w:w="2699" w:type="dxa"/>
            <w:tcBorders>
              <w:top w:val="single" w:sz="4" w:space="0" w:color="000000"/>
              <w:left w:val="nil"/>
              <w:bottom w:val="single" w:sz="4" w:space="0" w:color="000000"/>
              <w:right w:val="single" w:sz="4" w:space="0" w:color="000000"/>
            </w:tcBorders>
          </w:tcPr>
          <w:p w14:paraId="62EDCEE0" w14:textId="77777777" w:rsidR="00ED1D72" w:rsidRDefault="00ED1D72"/>
        </w:tc>
      </w:tr>
    </w:tbl>
    <w:p w14:paraId="4FC8BF55" w14:textId="77777777" w:rsidR="00ED1D72" w:rsidRDefault="005B6C0B">
      <w:pPr>
        <w:spacing w:after="0"/>
        <w:ind w:left="360"/>
        <w:jc w:val="both"/>
      </w:pPr>
      <w:r>
        <w:rPr>
          <w:rFonts w:ascii="Times New Roman" w:eastAsia="Times New Roman" w:hAnsi="Times New Roman" w:cs="Times New Roman"/>
        </w:rPr>
        <w:t xml:space="preserve"> </w:t>
      </w:r>
    </w:p>
    <w:tbl>
      <w:tblPr>
        <w:tblStyle w:val="TableGrid"/>
        <w:tblW w:w="9647" w:type="dxa"/>
        <w:tblInd w:w="254" w:type="dxa"/>
        <w:tblCellMar>
          <w:top w:w="7" w:type="dxa"/>
          <w:left w:w="107" w:type="dxa"/>
          <w:right w:w="47" w:type="dxa"/>
        </w:tblCellMar>
        <w:tblLook w:val="04A0" w:firstRow="1" w:lastRow="0" w:firstColumn="1" w:lastColumn="0" w:noHBand="0" w:noVBand="1"/>
      </w:tblPr>
      <w:tblGrid>
        <w:gridCol w:w="2584"/>
        <w:gridCol w:w="1303"/>
        <w:gridCol w:w="1801"/>
        <w:gridCol w:w="1079"/>
        <w:gridCol w:w="1441"/>
        <w:gridCol w:w="1439"/>
      </w:tblGrid>
      <w:tr w:rsidR="00B23109" w14:paraId="19E8BE90"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6360F6CB" w14:textId="6857ED07" w:rsidR="00B23109" w:rsidRDefault="00B23109" w:rsidP="00B23109">
            <w:r w:rsidRPr="00A06C44">
              <w:rPr>
                <w:rFonts w:ascii="Times New Roman" w:eastAsia="Times New Roman" w:hAnsi="Times New Roman" w:cs="Times New Roman"/>
                <w:b/>
                <w:sz w:val="24"/>
                <w:szCs w:val="24"/>
              </w:rPr>
              <w:t>Conditioned by other subjects</w:t>
            </w:r>
          </w:p>
        </w:tc>
      </w:tr>
      <w:tr w:rsidR="00ED1D72" w14:paraId="17786687" w14:textId="77777777">
        <w:trPr>
          <w:trHeight w:val="518"/>
        </w:trPr>
        <w:tc>
          <w:tcPr>
            <w:tcW w:w="9647" w:type="dxa"/>
            <w:gridSpan w:val="6"/>
            <w:tcBorders>
              <w:top w:val="single" w:sz="4" w:space="0" w:color="000000"/>
              <w:left w:val="single" w:sz="4" w:space="0" w:color="000000"/>
              <w:bottom w:val="single" w:sz="4" w:space="0" w:color="000000"/>
              <w:right w:val="single" w:sz="4" w:space="0" w:color="000000"/>
            </w:tcBorders>
          </w:tcPr>
          <w:p w14:paraId="7C31A448" w14:textId="52C5676A" w:rsidR="00ED1D72" w:rsidRDefault="00B23109">
            <w:r>
              <w:rPr>
                <w:rFonts w:ascii="Times New Roman" w:eastAsia="Times New Roman" w:hAnsi="Times New Roman" w:cs="Times New Roman"/>
              </w:rPr>
              <w:t>It is not conditioned by other subjects.</w:t>
            </w:r>
          </w:p>
        </w:tc>
      </w:tr>
      <w:tr w:rsidR="004842F2" w14:paraId="479FA531"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1021300" w14:textId="1F56F201" w:rsidR="004842F2" w:rsidRDefault="004842F2" w:rsidP="004842F2">
            <w:r w:rsidRPr="00A06C44">
              <w:rPr>
                <w:rFonts w:ascii="Times New Roman" w:eastAsia="Times New Roman" w:hAnsi="Times New Roman" w:cs="Times New Roman"/>
                <w:b/>
                <w:sz w:val="24"/>
                <w:szCs w:val="24"/>
              </w:rPr>
              <w:t>Objectives of studying the subject:</w:t>
            </w:r>
          </w:p>
        </w:tc>
      </w:tr>
      <w:tr w:rsidR="00ED1D72" w14:paraId="08064BB5" w14:textId="77777777">
        <w:trPr>
          <w:trHeight w:val="2288"/>
        </w:trPr>
        <w:tc>
          <w:tcPr>
            <w:tcW w:w="9647" w:type="dxa"/>
            <w:gridSpan w:val="6"/>
            <w:tcBorders>
              <w:top w:val="single" w:sz="4" w:space="0" w:color="000000"/>
              <w:left w:val="single" w:sz="4" w:space="0" w:color="000000"/>
              <w:bottom w:val="single" w:sz="4" w:space="0" w:color="000000"/>
              <w:right w:val="single" w:sz="4" w:space="0" w:color="000000"/>
            </w:tcBorders>
          </w:tcPr>
          <w:p w14:paraId="051CCC47" w14:textId="45BAC85F" w:rsidR="004842F2" w:rsidRPr="004842F2" w:rsidRDefault="004842F2" w:rsidP="004842F2">
            <w:pPr>
              <w:numPr>
                <w:ilvl w:val="0"/>
                <w:numId w:val="1"/>
              </w:numPr>
              <w:spacing w:after="2" w:line="277" w:lineRule="auto"/>
              <w:rPr>
                <w:rFonts w:ascii="Times New Roman" w:eastAsia="Times New Roman" w:hAnsi="Times New Roman" w:cs="Times New Roman"/>
              </w:rPr>
            </w:pPr>
            <w:r w:rsidRPr="004842F2">
              <w:rPr>
                <w:rFonts w:ascii="Times New Roman" w:eastAsia="Times New Roman" w:hAnsi="Times New Roman" w:cs="Times New Roman"/>
              </w:rPr>
              <w:t xml:space="preserve"> that students learn, understand and use the necessary scientific and professional terminology in the field of modern teaching, different procedures, concepts and models of modern teaching; - to critically accept differences in approach to organization and teaching;</w:t>
            </w:r>
          </w:p>
          <w:p w14:paraId="3CD56914" w14:textId="564A793E" w:rsidR="004842F2" w:rsidRPr="004842F2" w:rsidRDefault="004842F2" w:rsidP="004842F2">
            <w:pPr>
              <w:numPr>
                <w:ilvl w:val="0"/>
                <w:numId w:val="1"/>
              </w:numPr>
              <w:spacing w:after="2" w:line="277" w:lineRule="auto"/>
              <w:rPr>
                <w:rFonts w:ascii="Times New Roman" w:eastAsia="Times New Roman" w:hAnsi="Times New Roman" w:cs="Times New Roman"/>
              </w:rPr>
            </w:pPr>
            <w:r w:rsidRPr="004842F2">
              <w:rPr>
                <w:rFonts w:ascii="Times New Roman" w:eastAsia="Times New Roman" w:hAnsi="Times New Roman" w:cs="Times New Roman"/>
              </w:rPr>
              <w:t>to become familiar with the stages of the learning process in teaching, forms of teaching work, teaching methods;</w:t>
            </w:r>
          </w:p>
          <w:p w14:paraId="622D0153" w14:textId="09662124" w:rsidR="004842F2" w:rsidRPr="004842F2" w:rsidRDefault="004842F2" w:rsidP="004842F2">
            <w:pPr>
              <w:numPr>
                <w:ilvl w:val="0"/>
                <w:numId w:val="1"/>
              </w:numPr>
              <w:spacing w:after="2" w:line="277" w:lineRule="auto"/>
              <w:rPr>
                <w:rFonts w:ascii="Times New Roman" w:eastAsia="Times New Roman" w:hAnsi="Times New Roman" w:cs="Times New Roman"/>
              </w:rPr>
            </w:pPr>
            <w:r>
              <w:rPr>
                <w:rFonts w:ascii="Times New Roman" w:eastAsia="Times New Roman" w:hAnsi="Times New Roman" w:cs="Times New Roman"/>
              </w:rPr>
              <w:t xml:space="preserve">to </w:t>
            </w:r>
            <w:r w:rsidRPr="004842F2">
              <w:rPr>
                <w:rFonts w:ascii="Times New Roman" w:eastAsia="Times New Roman" w:hAnsi="Times New Roman" w:cs="Times New Roman"/>
              </w:rPr>
              <w:t>train them</w:t>
            </w:r>
            <w:r>
              <w:rPr>
                <w:rFonts w:ascii="Times New Roman" w:eastAsia="Times New Roman" w:hAnsi="Times New Roman" w:cs="Times New Roman"/>
              </w:rPr>
              <w:t>selves</w:t>
            </w:r>
            <w:r w:rsidRPr="004842F2">
              <w:rPr>
                <w:rFonts w:ascii="Times New Roman" w:eastAsia="Times New Roman" w:hAnsi="Times New Roman" w:cs="Times New Roman"/>
              </w:rPr>
              <w:t xml:space="preserve"> for quality application of acquired knowledge and skills in planning, organizing, performing and evaluating teaching work;</w:t>
            </w:r>
          </w:p>
          <w:p w14:paraId="4436DE98" w14:textId="0772B305" w:rsidR="00ED1D72" w:rsidRDefault="004842F2" w:rsidP="004842F2">
            <w:pPr>
              <w:numPr>
                <w:ilvl w:val="0"/>
                <w:numId w:val="1"/>
              </w:numPr>
            </w:pPr>
            <w:r w:rsidRPr="004842F2">
              <w:rPr>
                <w:rFonts w:ascii="Times New Roman" w:eastAsia="Times New Roman" w:hAnsi="Times New Roman" w:cs="Times New Roman"/>
              </w:rPr>
              <w:t>to be trained for the continuous modernization of teaching and extracurricular work at school.</w:t>
            </w:r>
          </w:p>
        </w:tc>
      </w:tr>
      <w:tr w:rsidR="00ED1D72" w14:paraId="49770FDF"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6982144" w14:textId="77777777" w:rsidR="004842F2" w:rsidRPr="004842F2" w:rsidRDefault="004842F2" w:rsidP="004842F2">
            <w:pPr>
              <w:rPr>
                <w:rFonts w:ascii="Times New Roman" w:eastAsia="Times New Roman" w:hAnsi="Times New Roman" w:cs="Times New Roman"/>
                <w:b/>
              </w:rPr>
            </w:pPr>
            <w:r w:rsidRPr="004842F2">
              <w:rPr>
                <w:rFonts w:ascii="Times New Roman" w:eastAsia="Times New Roman" w:hAnsi="Times New Roman" w:cs="Times New Roman"/>
                <w:b/>
              </w:rPr>
              <w:t>Learning outcome (Acquired knowledge):</w:t>
            </w:r>
          </w:p>
          <w:p w14:paraId="7493141A" w14:textId="5540FA21" w:rsidR="00ED1D72" w:rsidRDefault="004842F2" w:rsidP="004842F2">
            <w:r w:rsidRPr="004842F2">
              <w:rPr>
                <w:rFonts w:ascii="Times New Roman" w:eastAsia="Times New Roman" w:hAnsi="Times New Roman" w:cs="Times New Roman"/>
                <w:b/>
              </w:rPr>
              <w:t>​</w:t>
            </w:r>
          </w:p>
        </w:tc>
      </w:tr>
      <w:tr w:rsidR="00ED1D72" w14:paraId="677BCE40" w14:textId="77777777">
        <w:trPr>
          <w:trHeight w:val="2290"/>
        </w:trPr>
        <w:tc>
          <w:tcPr>
            <w:tcW w:w="9647" w:type="dxa"/>
            <w:gridSpan w:val="6"/>
            <w:tcBorders>
              <w:top w:val="single" w:sz="4" w:space="0" w:color="000000"/>
              <w:left w:val="single" w:sz="4" w:space="0" w:color="000000"/>
              <w:bottom w:val="single" w:sz="4" w:space="0" w:color="000000"/>
              <w:right w:val="single" w:sz="4" w:space="0" w:color="000000"/>
            </w:tcBorders>
          </w:tcPr>
          <w:p w14:paraId="62070E0C" w14:textId="77777777" w:rsidR="004842F2" w:rsidRPr="004842F2" w:rsidRDefault="004842F2" w:rsidP="004842F2">
            <w:pPr>
              <w:spacing w:after="18"/>
              <w:rPr>
                <w:rFonts w:ascii="Times New Roman" w:eastAsia="Times New Roman" w:hAnsi="Times New Roman" w:cs="Times New Roman"/>
              </w:rPr>
            </w:pPr>
            <w:r w:rsidRPr="004842F2">
              <w:rPr>
                <w:rFonts w:ascii="Times New Roman" w:eastAsia="Times New Roman" w:hAnsi="Times New Roman" w:cs="Times New Roman"/>
              </w:rPr>
              <w:t>Upon successful completion of this course, students will be able to:</w:t>
            </w:r>
          </w:p>
          <w:p w14:paraId="43B2D347" w14:textId="77777777" w:rsidR="004842F2" w:rsidRPr="004842F2" w:rsidRDefault="004842F2" w:rsidP="004842F2">
            <w:pPr>
              <w:spacing w:after="18"/>
              <w:rPr>
                <w:rFonts w:ascii="Times New Roman" w:eastAsia="Times New Roman" w:hAnsi="Times New Roman" w:cs="Times New Roman"/>
              </w:rPr>
            </w:pPr>
            <w:r w:rsidRPr="004842F2">
              <w:rPr>
                <w:rFonts w:ascii="Times New Roman" w:eastAsia="Times New Roman" w:hAnsi="Times New Roman" w:cs="Times New Roman"/>
              </w:rPr>
              <w:t>- recognize the importance of applying modern methods in teaching;</w:t>
            </w:r>
          </w:p>
          <w:p w14:paraId="3E601A5E" w14:textId="77777777" w:rsidR="004842F2" w:rsidRPr="004842F2" w:rsidRDefault="004842F2" w:rsidP="004842F2">
            <w:pPr>
              <w:spacing w:after="18"/>
              <w:rPr>
                <w:rFonts w:ascii="Times New Roman" w:eastAsia="Times New Roman" w:hAnsi="Times New Roman" w:cs="Times New Roman"/>
              </w:rPr>
            </w:pPr>
            <w:r w:rsidRPr="004842F2">
              <w:rPr>
                <w:rFonts w:ascii="Times New Roman" w:eastAsia="Times New Roman" w:hAnsi="Times New Roman" w:cs="Times New Roman"/>
              </w:rPr>
              <w:t>- plan the lesson using modern methods;</w:t>
            </w:r>
          </w:p>
          <w:p w14:paraId="07E05E3F" w14:textId="77777777" w:rsidR="004842F2" w:rsidRPr="004842F2" w:rsidRDefault="004842F2" w:rsidP="004842F2">
            <w:pPr>
              <w:spacing w:after="18"/>
              <w:rPr>
                <w:rFonts w:ascii="Times New Roman" w:eastAsia="Times New Roman" w:hAnsi="Times New Roman" w:cs="Times New Roman"/>
              </w:rPr>
            </w:pPr>
            <w:r w:rsidRPr="004842F2">
              <w:rPr>
                <w:rFonts w:ascii="Times New Roman" w:eastAsia="Times New Roman" w:hAnsi="Times New Roman" w:cs="Times New Roman"/>
              </w:rPr>
              <w:t>- organize and conduct a lesson in elementary or secondary school or on a course according to the principles of modern foreign language teaching;</w:t>
            </w:r>
          </w:p>
          <w:p w14:paraId="458C3F0C" w14:textId="77777777" w:rsidR="004842F2" w:rsidRPr="004842F2" w:rsidRDefault="004842F2" w:rsidP="004842F2">
            <w:pPr>
              <w:spacing w:after="18"/>
              <w:rPr>
                <w:rFonts w:ascii="Times New Roman" w:eastAsia="Times New Roman" w:hAnsi="Times New Roman" w:cs="Times New Roman"/>
              </w:rPr>
            </w:pPr>
            <w:r w:rsidRPr="004842F2">
              <w:rPr>
                <w:rFonts w:ascii="Times New Roman" w:eastAsia="Times New Roman" w:hAnsi="Times New Roman" w:cs="Times New Roman"/>
              </w:rPr>
              <w:t>- to analyze the effects of the application of modern methods in the teaching of the German language and their impact on the development of communicative competence among students/attendees;</w:t>
            </w:r>
          </w:p>
          <w:p w14:paraId="1763B74D" w14:textId="305B96FD" w:rsidR="00ED1D72" w:rsidRDefault="004842F2" w:rsidP="004842F2">
            <w:r w:rsidRPr="004842F2">
              <w:rPr>
                <w:rFonts w:ascii="Times New Roman" w:eastAsia="Times New Roman" w:hAnsi="Times New Roman" w:cs="Times New Roman"/>
              </w:rPr>
              <w:t>- evaluate their own class and perform a critical analysis of the course of the class itself and the results achieved.</w:t>
            </w:r>
          </w:p>
        </w:tc>
      </w:tr>
      <w:tr w:rsidR="004842F2" w14:paraId="25B5E08A"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3A46B52" w14:textId="139AA56B" w:rsidR="004842F2" w:rsidRDefault="004842F2" w:rsidP="004842F2">
            <w:r w:rsidRPr="00A06C44">
              <w:rPr>
                <w:rFonts w:ascii="Times New Roman" w:eastAsia="Times New Roman" w:hAnsi="Times New Roman" w:cs="Times New Roman"/>
                <w:b/>
                <w:sz w:val="24"/>
                <w:szCs w:val="24"/>
              </w:rPr>
              <w:t>Course content:</w:t>
            </w:r>
          </w:p>
        </w:tc>
      </w:tr>
      <w:tr w:rsidR="00ED1D72" w14:paraId="1ED9847D" w14:textId="77777777">
        <w:trPr>
          <w:trHeight w:val="2038"/>
        </w:trPr>
        <w:tc>
          <w:tcPr>
            <w:tcW w:w="9647" w:type="dxa"/>
            <w:gridSpan w:val="6"/>
            <w:tcBorders>
              <w:top w:val="single" w:sz="4" w:space="0" w:color="000000"/>
              <w:left w:val="single" w:sz="4" w:space="0" w:color="000000"/>
              <w:bottom w:val="single" w:sz="4" w:space="0" w:color="000000"/>
              <w:right w:val="single" w:sz="4" w:space="0" w:color="000000"/>
            </w:tcBorders>
          </w:tcPr>
          <w:p w14:paraId="6DA64608" w14:textId="636F8E27" w:rsidR="00ED1D72" w:rsidRDefault="004842F2" w:rsidP="00CF216B">
            <w:pPr>
              <w:jc w:val="both"/>
            </w:pPr>
            <w:r w:rsidRPr="004842F2">
              <w:rPr>
                <w:rFonts w:ascii="Times New Roman" w:eastAsia="Times New Roman" w:hAnsi="Times New Roman" w:cs="Times New Roman"/>
              </w:rPr>
              <w:lastRenderedPageBreak/>
              <w:t xml:space="preserve">Planning in teaching. Application of modern methods in teaching. Forms of contemporary teaching work. Modern teaching technique and technology. Teaching aids and resources in modern teaching. Training students </w:t>
            </w:r>
            <w:r>
              <w:rPr>
                <w:rFonts w:ascii="Times New Roman" w:eastAsia="Times New Roman" w:hAnsi="Times New Roman" w:cs="Times New Roman"/>
              </w:rPr>
              <w:t>how to learn</w:t>
            </w:r>
            <w:r w:rsidRPr="004842F2">
              <w:rPr>
                <w:rFonts w:ascii="Times New Roman" w:eastAsia="Times New Roman" w:hAnsi="Times New Roman" w:cs="Times New Roman"/>
              </w:rPr>
              <w:t>. The concept and importance of self-education of students and teachers. The role and importance of communication in modern teaching. Analysis and disc</w:t>
            </w:r>
            <w:bookmarkStart w:id="0" w:name="_GoBack"/>
            <w:bookmarkEnd w:id="0"/>
            <w:r w:rsidRPr="004842F2">
              <w:rPr>
                <w:rFonts w:ascii="Times New Roman" w:eastAsia="Times New Roman" w:hAnsi="Times New Roman" w:cs="Times New Roman"/>
              </w:rPr>
              <w:t>ussion of the problems of organization and execution of modern teaching from certain sources of didactic literature and educational practice. Getting to know modern types of teaching and their application in teaching practice.</w:t>
            </w:r>
          </w:p>
        </w:tc>
      </w:tr>
      <w:tr w:rsidR="00E4145F" w14:paraId="6D7A957E"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9BC7253" w14:textId="58B41F0E" w:rsidR="00E4145F" w:rsidRDefault="00E4145F" w:rsidP="00E4145F">
            <w:r w:rsidRPr="00A06C44">
              <w:rPr>
                <w:rFonts w:ascii="Times New Roman" w:eastAsia="Times New Roman" w:hAnsi="Times New Roman" w:cs="Times New Roman"/>
                <w:b/>
                <w:sz w:val="24"/>
                <w:szCs w:val="24"/>
              </w:rPr>
              <w:t>Teaching methods and mastering the material:</w:t>
            </w:r>
          </w:p>
        </w:tc>
      </w:tr>
      <w:tr w:rsidR="00ED1D72" w14:paraId="509E0BE1" w14:textId="77777777">
        <w:trPr>
          <w:trHeight w:val="518"/>
        </w:trPr>
        <w:tc>
          <w:tcPr>
            <w:tcW w:w="9647" w:type="dxa"/>
            <w:gridSpan w:val="6"/>
            <w:tcBorders>
              <w:top w:val="single" w:sz="4" w:space="0" w:color="000000"/>
              <w:left w:val="single" w:sz="4" w:space="0" w:color="000000"/>
              <w:bottom w:val="single" w:sz="4" w:space="0" w:color="000000"/>
              <w:right w:val="single" w:sz="4" w:space="0" w:color="000000"/>
            </w:tcBorders>
          </w:tcPr>
          <w:p w14:paraId="12C5FD96" w14:textId="5FA278EC" w:rsidR="00ED1D72" w:rsidRDefault="00E4145F">
            <w:pPr>
              <w:ind w:right="2242"/>
            </w:pPr>
            <w:r w:rsidRPr="00E4145F">
              <w:rPr>
                <w:rFonts w:ascii="Times New Roman" w:eastAsia="Times New Roman" w:hAnsi="Times New Roman" w:cs="Times New Roman"/>
              </w:rPr>
              <w:t>Lectures, exercises, homework, consultations, independent work at home.</w:t>
            </w:r>
          </w:p>
        </w:tc>
      </w:tr>
      <w:tr w:rsidR="00ED1D72" w14:paraId="133C75C7"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A3A8CE8" w14:textId="09DD3CB0" w:rsidR="00ED1D72" w:rsidRDefault="00E4145F">
            <w:r>
              <w:rPr>
                <w:rFonts w:ascii="Times New Roman" w:eastAsia="Times New Roman" w:hAnsi="Times New Roman" w:cs="Times New Roman"/>
                <w:b/>
              </w:rPr>
              <w:t>Literature</w:t>
            </w:r>
            <w:r w:rsidR="005B6C0B">
              <w:rPr>
                <w:rFonts w:ascii="Times New Roman" w:eastAsia="Times New Roman" w:hAnsi="Times New Roman" w:cs="Times New Roman"/>
                <w:b/>
              </w:rPr>
              <w:t xml:space="preserve">: </w:t>
            </w:r>
          </w:p>
        </w:tc>
      </w:tr>
      <w:tr w:rsidR="00ED1D72" w14:paraId="735B9C50" w14:textId="77777777">
        <w:trPr>
          <w:trHeight w:val="2426"/>
        </w:trPr>
        <w:tc>
          <w:tcPr>
            <w:tcW w:w="9647" w:type="dxa"/>
            <w:gridSpan w:val="6"/>
            <w:tcBorders>
              <w:top w:val="single" w:sz="4" w:space="0" w:color="000000"/>
              <w:left w:val="single" w:sz="4" w:space="0" w:color="000000"/>
              <w:bottom w:val="single" w:sz="4" w:space="0" w:color="000000"/>
              <w:right w:val="single" w:sz="4" w:space="0" w:color="000000"/>
            </w:tcBorders>
          </w:tcPr>
          <w:p w14:paraId="117F1070" w14:textId="77777777" w:rsidR="00ED1D72" w:rsidRDefault="005B6C0B">
            <w:pPr>
              <w:numPr>
                <w:ilvl w:val="0"/>
                <w:numId w:val="3"/>
              </w:numPr>
              <w:spacing w:line="270" w:lineRule="auto"/>
            </w:pPr>
            <w:r w:rsidRPr="00695D39">
              <w:rPr>
                <w:rFonts w:ascii="Times New Roman" w:eastAsia="Times New Roman" w:hAnsi="Times New Roman" w:cs="Times New Roman"/>
                <w:lang w:val="de-DE"/>
              </w:rPr>
              <w:t xml:space="preserve">Blažević, Nevenka (2007): </w:t>
            </w:r>
            <w:r w:rsidRPr="00695D39">
              <w:rPr>
                <w:rFonts w:ascii="Times New Roman" w:eastAsia="Times New Roman" w:hAnsi="Times New Roman" w:cs="Times New Roman"/>
                <w:i/>
                <w:lang w:val="de-DE"/>
              </w:rPr>
              <w:t>Grundlagen der Didaktik und Methodik des Unterrichts Deutsch als</w:t>
            </w:r>
            <w:r w:rsidRPr="00695D39">
              <w:rPr>
                <w:rFonts w:ascii="Times New Roman" w:eastAsia="Times New Roman" w:hAnsi="Times New Roman" w:cs="Times New Roman"/>
                <w:lang w:val="de-DE"/>
              </w:rPr>
              <w:t xml:space="preserve"> </w:t>
            </w:r>
            <w:r w:rsidRPr="00695D39">
              <w:rPr>
                <w:rFonts w:ascii="Times New Roman" w:eastAsia="Times New Roman" w:hAnsi="Times New Roman" w:cs="Times New Roman"/>
                <w:i/>
                <w:lang w:val="de-DE"/>
              </w:rPr>
              <w:t>Fremdsprache</w:t>
            </w:r>
            <w:r w:rsidRPr="00695D39">
              <w:rPr>
                <w:rFonts w:ascii="Times New Roman" w:eastAsia="Times New Roman" w:hAnsi="Times New Roman" w:cs="Times New Roman"/>
                <w:lang w:val="de-DE"/>
              </w:rPr>
              <w:t xml:space="preserve">. </w:t>
            </w:r>
            <w:r>
              <w:rPr>
                <w:rFonts w:ascii="Times New Roman" w:eastAsia="Times New Roman" w:hAnsi="Times New Roman" w:cs="Times New Roman"/>
              </w:rPr>
              <w:t xml:space="preserve">Rijeka: </w:t>
            </w:r>
            <w:proofErr w:type="spellStart"/>
            <w:r>
              <w:rPr>
                <w:rFonts w:ascii="Times New Roman" w:eastAsia="Times New Roman" w:hAnsi="Times New Roman" w:cs="Times New Roman"/>
              </w:rPr>
              <w:t>Sveučilište</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Rijeci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Filozofski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fakultet</w:t>
            </w:r>
            <w:proofErr w:type="spellEnd"/>
            <w:r>
              <w:rPr>
                <w:rFonts w:ascii="Times New Roman" w:eastAsia="Times New Roman" w:hAnsi="Times New Roman" w:cs="Times New Roman"/>
              </w:rPr>
              <w:t xml:space="preserve">. </w:t>
            </w:r>
          </w:p>
          <w:p w14:paraId="52A6548E" w14:textId="77777777" w:rsidR="00ED1D72" w:rsidRDefault="005B6C0B">
            <w:pPr>
              <w:numPr>
                <w:ilvl w:val="0"/>
                <w:numId w:val="3"/>
              </w:numPr>
              <w:spacing w:after="12" w:line="238" w:lineRule="auto"/>
            </w:pPr>
            <w:r w:rsidRPr="00695D39">
              <w:rPr>
                <w:rFonts w:ascii="Times New Roman" w:eastAsia="Times New Roman" w:hAnsi="Times New Roman" w:cs="Times New Roman"/>
                <w:sz w:val="24"/>
                <w:lang w:val="de-DE"/>
              </w:rPr>
              <w:t xml:space="preserve">Decke-Cornill, Helene / Küster, Lutz (2010): </w:t>
            </w:r>
            <w:r w:rsidRPr="00695D39">
              <w:rPr>
                <w:rFonts w:ascii="Times New Roman" w:eastAsia="Times New Roman" w:hAnsi="Times New Roman" w:cs="Times New Roman"/>
                <w:i/>
                <w:sz w:val="24"/>
                <w:lang w:val="de-DE"/>
              </w:rPr>
              <w:t>Fremdsprachendidaktik</w:t>
            </w:r>
            <w:r w:rsidRPr="00695D39">
              <w:rPr>
                <w:rFonts w:ascii="Times New Roman" w:eastAsia="Times New Roman" w:hAnsi="Times New Roman" w:cs="Times New Roman"/>
                <w:sz w:val="24"/>
                <w:lang w:val="de-DE"/>
              </w:rPr>
              <w:t xml:space="preserve">. </w:t>
            </w:r>
            <w:proofErr w:type="spellStart"/>
            <w:r>
              <w:rPr>
                <w:rFonts w:ascii="Times New Roman" w:eastAsia="Times New Roman" w:hAnsi="Times New Roman" w:cs="Times New Roman"/>
                <w:sz w:val="24"/>
              </w:rPr>
              <w:t>Eine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Einführung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Tübingen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Narr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Verlag</w:t>
            </w:r>
            <w:proofErr w:type="spellEnd"/>
            <w:r>
              <w:rPr>
                <w:rFonts w:ascii="Times New Roman" w:eastAsia="Times New Roman" w:hAnsi="Times New Roman" w:cs="Times New Roman"/>
                <w:sz w:val="24"/>
              </w:rPr>
              <w:t xml:space="preserve">. </w:t>
            </w:r>
          </w:p>
          <w:p w14:paraId="5206AA72" w14:textId="77777777" w:rsidR="00ED1D72" w:rsidRDefault="005B6C0B">
            <w:pPr>
              <w:numPr>
                <w:ilvl w:val="0"/>
                <w:numId w:val="3"/>
              </w:numPr>
              <w:spacing w:after="6" w:line="246" w:lineRule="auto"/>
            </w:pPr>
            <w:r w:rsidRPr="00695D39">
              <w:rPr>
                <w:rFonts w:ascii="Times New Roman" w:eastAsia="Times New Roman" w:hAnsi="Times New Roman" w:cs="Times New Roman"/>
                <w:sz w:val="24"/>
                <w:lang w:val="de-DE"/>
              </w:rPr>
              <w:t>Huneke, Hans-Werner / Steinig, Wolfgang (2005</w:t>
            </w:r>
            <w:r w:rsidRPr="00695D39">
              <w:rPr>
                <w:rFonts w:ascii="Times New Roman" w:eastAsia="Times New Roman" w:hAnsi="Times New Roman" w:cs="Times New Roman"/>
                <w:sz w:val="24"/>
                <w:vertAlign w:val="superscript"/>
                <w:lang w:val="de-DE"/>
              </w:rPr>
              <w:t>4</w:t>
            </w:r>
            <w:r w:rsidRPr="00695D39">
              <w:rPr>
                <w:rFonts w:ascii="Times New Roman" w:eastAsia="Times New Roman" w:hAnsi="Times New Roman" w:cs="Times New Roman"/>
                <w:sz w:val="24"/>
                <w:lang w:val="de-DE"/>
              </w:rPr>
              <w:t xml:space="preserve">): </w:t>
            </w:r>
            <w:r w:rsidRPr="00695D39">
              <w:rPr>
                <w:rFonts w:ascii="Times New Roman" w:eastAsia="Times New Roman" w:hAnsi="Times New Roman" w:cs="Times New Roman"/>
                <w:i/>
                <w:sz w:val="24"/>
                <w:lang w:val="de-DE"/>
              </w:rPr>
              <w:t>Deutsch als Fremdsprache</w:t>
            </w:r>
            <w:r w:rsidRPr="00695D39">
              <w:rPr>
                <w:rFonts w:ascii="Times New Roman" w:eastAsia="Times New Roman" w:hAnsi="Times New Roman" w:cs="Times New Roman"/>
                <w:sz w:val="24"/>
                <w:lang w:val="de-DE"/>
              </w:rPr>
              <w:t xml:space="preserve">. </w:t>
            </w:r>
            <w:proofErr w:type="spellStart"/>
            <w:r>
              <w:rPr>
                <w:rFonts w:ascii="Times New Roman" w:eastAsia="Times New Roman" w:hAnsi="Times New Roman" w:cs="Times New Roman"/>
                <w:sz w:val="24"/>
              </w:rPr>
              <w:t>Eine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Einführung</w:t>
            </w:r>
            <w:proofErr w:type="spellEnd"/>
            <w:r>
              <w:rPr>
                <w:rFonts w:ascii="Times New Roman" w:eastAsia="Times New Roman" w:hAnsi="Times New Roman" w:cs="Times New Roman"/>
                <w:sz w:val="24"/>
              </w:rPr>
              <w:t xml:space="preserve">. Berlin: Erich Schmidt Verlag. </w:t>
            </w:r>
          </w:p>
          <w:p w14:paraId="64C5AF9A" w14:textId="77777777" w:rsidR="00ED1D72" w:rsidRDefault="005B6C0B">
            <w:pPr>
              <w:numPr>
                <w:ilvl w:val="0"/>
                <w:numId w:val="3"/>
              </w:numPr>
              <w:spacing w:line="246" w:lineRule="auto"/>
            </w:pPr>
            <w:r w:rsidRPr="00695D39">
              <w:rPr>
                <w:rFonts w:ascii="Times New Roman" w:eastAsia="Times New Roman" w:hAnsi="Times New Roman" w:cs="Times New Roman"/>
                <w:sz w:val="24"/>
                <w:lang w:val="de-DE"/>
              </w:rPr>
              <w:t>Storch, Günther (2008</w:t>
            </w:r>
            <w:r w:rsidRPr="00695D39">
              <w:rPr>
                <w:rFonts w:ascii="Times New Roman" w:eastAsia="Times New Roman" w:hAnsi="Times New Roman" w:cs="Times New Roman"/>
                <w:sz w:val="24"/>
                <w:vertAlign w:val="superscript"/>
                <w:lang w:val="de-DE"/>
              </w:rPr>
              <w:t>3</w:t>
            </w:r>
            <w:r w:rsidRPr="00695D39">
              <w:rPr>
                <w:rFonts w:ascii="Times New Roman" w:eastAsia="Times New Roman" w:hAnsi="Times New Roman" w:cs="Times New Roman"/>
                <w:sz w:val="24"/>
                <w:lang w:val="de-DE"/>
              </w:rPr>
              <w:t xml:space="preserve">): </w:t>
            </w:r>
            <w:r w:rsidRPr="00695D39">
              <w:rPr>
                <w:rFonts w:ascii="Times New Roman" w:eastAsia="Times New Roman" w:hAnsi="Times New Roman" w:cs="Times New Roman"/>
                <w:i/>
                <w:sz w:val="24"/>
                <w:lang w:val="de-DE"/>
              </w:rPr>
              <w:t>Deutsch als Fremdsprache – Eine Didaktik</w:t>
            </w:r>
            <w:r w:rsidRPr="00695D39">
              <w:rPr>
                <w:rFonts w:ascii="Times New Roman" w:eastAsia="Times New Roman" w:hAnsi="Times New Roman" w:cs="Times New Roman"/>
                <w:sz w:val="24"/>
                <w:lang w:val="de-DE"/>
              </w:rPr>
              <w:t xml:space="preserve">. </w:t>
            </w:r>
            <w:r>
              <w:rPr>
                <w:rFonts w:ascii="Times New Roman" w:eastAsia="Times New Roman" w:hAnsi="Times New Roman" w:cs="Times New Roman"/>
                <w:sz w:val="24"/>
              </w:rPr>
              <w:t>Paderborn: Wilhelm Fink.</w:t>
            </w:r>
            <w:r>
              <w:rPr>
                <w:rFonts w:ascii="Times New Roman" w:eastAsia="Times New Roman" w:hAnsi="Times New Roman" w:cs="Times New Roman"/>
              </w:rPr>
              <w:t xml:space="preserve"> </w:t>
            </w:r>
          </w:p>
          <w:p w14:paraId="0EEE9F22" w14:textId="77777777" w:rsidR="00ED1D72" w:rsidRDefault="005B6C0B">
            <w:r>
              <w:rPr>
                <w:rFonts w:ascii="Times New Roman" w:eastAsia="Times New Roman" w:hAnsi="Times New Roman" w:cs="Times New Roman"/>
              </w:rPr>
              <w:t xml:space="preserve"> </w:t>
            </w:r>
          </w:p>
        </w:tc>
      </w:tr>
      <w:tr w:rsidR="00E4145F" w14:paraId="3ED8A9CC"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C889569" w14:textId="179E4F69" w:rsidR="00E4145F" w:rsidRDefault="00E4145F" w:rsidP="00E4145F">
            <w:r w:rsidRPr="00A06C44">
              <w:rPr>
                <w:rFonts w:ascii="Times New Roman" w:eastAsia="Times New Roman" w:hAnsi="Times New Roman" w:cs="Times New Roman"/>
                <w:b/>
                <w:sz w:val="24"/>
                <w:szCs w:val="24"/>
              </w:rPr>
              <w:t>Forms of knowledge testing and assessment:</w:t>
            </w:r>
          </w:p>
        </w:tc>
      </w:tr>
      <w:tr w:rsidR="00ED1D72" w14:paraId="4EAF77FA" w14:textId="77777777">
        <w:trPr>
          <w:trHeight w:val="263"/>
        </w:trPr>
        <w:tc>
          <w:tcPr>
            <w:tcW w:w="9647" w:type="dxa"/>
            <w:gridSpan w:val="6"/>
            <w:tcBorders>
              <w:top w:val="single" w:sz="4" w:space="0" w:color="000000"/>
              <w:left w:val="single" w:sz="4" w:space="0" w:color="000000"/>
              <w:bottom w:val="single" w:sz="4" w:space="0" w:color="000000"/>
              <w:right w:val="single" w:sz="4" w:space="0" w:color="000000"/>
            </w:tcBorders>
          </w:tcPr>
          <w:p w14:paraId="18F6C9FC" w14:textId="6A0392EC" w:rsidR="00ED1D72" w:rsidRDefault="00E4145F">
            <w:pPr>
              <w:ind w:right="232"/>
              <w:jc w:val="center"/>
            </w:pPr>
            <w:r w:rsidRPr="00E4145F">
              <w:rPr>
                <w:rFonts w:ascii="Times New Roman" w:eastAsia="Times New Roman" w:hAnsi="Times New Roman" w:cs="Times New Roman"/>
              </w:rPr>
              <w:t>Knowledge assessment (maximum number of points 100)</w:t>
            </w:r>
          </w:p>
        </w:tc>
      </w:tr>
      <w:tr w:rsidR="00ED1D72" w14:paraId="47586CC5" w14:textId="77777777">
        <w:trPr>
          <w:trHeight w:val="264"/>
        </w:trPr>
        <w:tc>
          <w:tcPr>
            <w:tcW w:w="5688" w:type="dxa"/>
            <w:gridSpan w:val="3"/>
            <w:tcBorders>
              <w:top w:val="single" w:sz="4" w:space="0" w:color="000000"/>
              <w:left w:val="single" w:sz="4" w:space="0" w:color="000000"/>
              <w:bottom w:val="single" w:sz="4" w:space="0" w:color="000000"/>
              <w:right w:val="single" w:sz="4" w:space="0" w:color="000000"/>
            </w:tcBorders>
          </w:tcPr>
          <w:p w14:paraId="3C9A8AD6" w14:textId="268DEE68" w:rsidR="00ED1D72" w:rsidRDefault="00E4145F">
            <w:r>
              <w:rPr>
                <w:rFonts w:ascii="Times New Roman" w:eastAsia="Times New Roman" w:hAnsi="Times New Roman" w:cs="Times New Roman"/>
              </w:rPr>
              <w:t xml:space="preserve">                   </w:t>
            </w:r>
            <w:r w:rsidRPr="00E4145F">
              <w:rPr>
                <w:rFonts w:ascii="Times New Roman" w:eastAsia="Times New Roman" w:hAnsi="Times New Roman" w:cs="Times New Roman"/>
              </w:rPr>
              <w:t>Pre-exam requirements</w:t>
            </w:r>
          </w:p>
        </w:tc>
        <w:tc>
          <w:tcPr>
            <w:tcW w:w="3959" w:type="dxa"/>
            <w:gridSpan w:val="3"/>
            <w:tcBorders>
              <w:top w:val="single" w:sz="4" w:space="0" w:color="000000"/>
              <w:left w:val="single" w:sz="4" w:space="0" w:color="000000"/>
              <w:bottom w:val="single" w:sz="4" w:space="0" w:color="000000"/>
              <w:right w:val="single" w:sz="4" w:space="0" w:color="000000"/>
            </w:tcBorders>
          </w:tcPr>
          <w:p w14:paraId="0FCD057E" w14:textId="56A241E2" w:rsidR="00ED1D72" w:rsidRDefault="005B6C0B">
            <w:pPr>
              <w:ind w:left="1"/>
            </w:pPr>
            <w:r>
              <w:rPr>
                <w:rFonts w:ascii="Times New Roman" w:eastAsia="Times New Roman" w:hAnsi="Times New Roman" w:cs="Times New Roman"/>
              </w:rPr>
              <w:t xml:space="preserve">                             </w:t>
            </w:r>
            <w:r w:rsidR="00E4145F">
              <w:rPr>
                <w:rFonts w:ascii="Times New Roman" w:eastAsia="Times New Roman" w:hAnsi="Times New Roman" w:cs="Times New Roman"/>
              </w:rPr>
              <w:t>Final exam</w:t>
            </w:r>
            <w:r>
              <w:rPr>
                <w:rFonts w:ascii="Times New Roman" w:eastAsia="Times New Roman" w:hAnsi="Times New Roman" w:cs="Times New Roman"/>
                <w:sz w:val="20"/>
              </w:rPr>
              <w:t xml:space="preserve"> </w:t>
            </w:r>
          </w:p>
        </w:tc>
      </w:tr>
      <w:tr w:rsidR="00ED1D72" w14:paraId="69D651EE" w14:textId="77777777">
        <w:trPr>
          <w:trHeight w:val="264"/>
        </w:trPr>
        <w:tc>
          <w:tcPr>
            <w:tcW w:w="2584" w:type="dxa"/>
            <w:tcBorders>
              <w:top w:val="single" w:sz="4" w:space="0" w:color="000000"/>
              <w:left w:val="single" w:sz="4" w:space="0" w:color="000000"/>
              <w:bottom w:val="single" w:sz="4" w:space="0" w:color="000000"/>
              <w:right w:val="single" w:sz="4" w:space="0" w:color="000000"/>
            </w:tcBorders>
          </w:tcPr>
          <w:p w14:paraId="26518BAC" w14:textId="5EC7739B" w:rsidR="00ED1D72" w:rsidRDefault="00E4145F">
            <w:r w:rsidRPr="00E4145F">
              <w:rPr>
                <w:rFonts w:ascii="Times New Roman" w:eastAsia="Times New Roman" w:hAnsi="Times New Roman" w:cs="Times New Roman"/>
              </w:rPr>
              <w:t>Colloquium</w:t>
            </w:r>
          </w:p>
        </w:tc>
        <w:tc>
          <w:tcPr>
            <w:tcW w:w="1303" w:type="dxa"/>
            <w:tcBorders>
              <w:top w:val="single" w:sz="4" w:space="0" w:color="000000"/>
              <w:left w:val="single" w:sz="4" w:space="0" w:color="000000"/>
              <w:bottom w:val="single" w:sz="4" w:space="0" w:color="000000"/>
              <w:right w:val="single" w:sz="4" w:space="0" w:color="000000"/>
            </w:tcBorders>
          </w:tcPr>
          <w:p w14:paraId="2168119D" w14:textId="495EC139" w:rsidR="00ED1D72" w:rsidRDefault="005B6C0B">
            <w:pPr>
              <w:ind w:left="1"/>
            </w:pPr>
            <w:r>
              <w:rPr>
                <w:rFonts w:ascii="Times New Roman" w:eastAsia="Times New Roman" w:hAnsi="Times New Roman" w:cs="Times New Roman"/>
                <w:sz w:val="20"/>
              </w:rPr>
              <w:t xml:space="preserve">30 </w:t>
            </w:r>
            <w:r w:rsidR="00E4145F">
              <w:rPr>
                <w:rFonts w:ascii="Times New Roman" w:eastAsia="Times New Roman" w:hAnsi="Times New Roman" w:cs="Times New Roman"/>
                <w:sz w:val="20"/>
              </w:rPr>
              <w:t>points</w:t>
            </w:r>
            <w:r>
              <w:rPr>
                <w:rFonts w:ascii="Times New Roman" w:eastAsia="Times New Roman" w:hAnsi="Times New Roman" w:cs="Times New Roman"/>
                <w:sz w:val="20"/>
              </w:rPr>
              <w:t xml:space="preserve"> </w:t>
            </w:r>
          </w:p>
        </w:tc>
        <w:tc>
          <w:tcPr>
            <w:tcW w:w="2880" w:type="dxa"/>
            <w:gridSpan w:val="2"/>
            <w:tcBorders>
              <w:top w:val="single" w:sz="4" w:space="0" w:color="000000"/>
              <w:left w:val="single" w:sz="4" w:space="0" w:color="000000"/>
              <w:bottom w:val="single" w:sz="4" w:space="0" w:color="000000"/>
              <w:right w:val="single" w:sz="4" w:space="0" w:color="000000"/>
            </w:tcBorders>
          </w:tcPr>
          <w:p w14:paraId="30787C7E" w14:textId="77777777" w:rsidR="00ED1D72" w:rsidRDefault="005B6C0B">
            <w:pPr>
              <w:ind w:left="1"/>
            </w:pPr>
            <w:r>
              <w:rPr>
                <w:rFonts w:ascii="Times New Roman" w:eastAsia="Times New Roman" w:hAnsi="Times New Roman" w:cs="Times New Roman"/>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94CBA0E" w14:textId="4FBD5FD9" w:rsidR="00ED1D72" w:rsidRDefault="00E4145F">
            <w:pPr>
              <w:ind w:left="1"/>
            </w:pPr>
            <w:r>
              <w:rPr>
                <w:rFonts w:ascii="Times New Roman" w:eastAsia="Times New Roman" w:hAnsi="Times New Roman" w:cs="Times New Roman"/>
                <w:sz w:val="20"/>
              </w:rPr>
              <w:t>Exam</w:t>
            </w:r>
          </w:p>
        </w:tc>
        <w:tc>
          <w:tcPr>
            <w:tcW w:w="1439" w:type="dxa"/>
            <w:tcBorders>
              <w:top w:val="single" w:sz="4" w:space="0" w:color="000000"/>
              <w:left w:val="single" w:sz="4" w:space="0" w:color="000000"/>
              <w:bottom w:val="single" w:sz="4" w:space="0" w:color="000000"/>
              <w:right w:val="single" w:sz="4" w:space="0" w:color="000000"/>
            </w:tcBorders>
          </w:tcPr>
          <w:p w14:paraId="2F8A5B1E" w14:textId="6F49A55F" w:rsidR="00ED1D72" w:rsidRDefault="005B6C0B">
            <w:pPr>
              <w:ind w:left="1"/>
            </w:pPr>
            <w:r>
              <w:rPr>
                <w:rFonts w:ascii="Times New Roman" w:eastAsia="Times New Roman" w:hAnsi="Times New Roman" w:cs="Times New Roman"/>
                <w:sz w:val="20"/>
              </w:rPr>
              <w:t xml:space="preserve">40 </w:t>
            </w:r>
            <w:r w:rsidR="00E4145F">
              <w:rPr>
                <w:rFonts w:ascii="Times New Roman" w:eastAsia="Times New Roman" w:hAnsi="Times New Roman" w:cs="Times New Roman"/>
                <w:sz w:val="20"/>
              </w:rPr>
              <w:t>points</w:t>
            </w:r>
          </w:p>
        </w:tc>
      </w:tr>
      <w:tr w:rsidR="00ED1D72" w14:paraId="3CEDB6A6" w14:textId="77777777">
        <w:trPr>
          <w:trHeight w:val="263"/>
        </w:trPr>
        <w:tc>
          <w:tcPr>
            <w:tcW w:w="2584" w:type="dxa"/>
            <w:tcBorders>
              <w:top w:val="single" w:sz="4" w:space="0" w:color="000000"/>
              <w:left w:val="single" w:sz="4" w:space="0" w:color="000000"/>
              <w:bottom w:val="single" w:sz="4" w:space="0" w:color="000000"/>
              <w:right w:val="single" w:sz="4" w:space="0" w:color="000000"/>
            </w:tcBorders>
          </w:tcPr>
          <w:p w14:paraId="5E1214F7" w14:textId="4D0A161A" w:rsidR="00ED1D72" w:rsidRDefault="00E4145F">
            <w:r>
              <w:rPr>
                <w:rFonts w:ascii="Times New Roman" w:eastAsia="Times New Roman" w:hAnsi="Times New Roman" w:cs="Times New Roman"/>
              </w:rPr>
              <w:t xml:space="preserve">Homework </w:t>
            </w:r>
          </w:p>
        </w:tc>
        <w:tc>
          <w:tcPr>
            <w:tcW w:w="1303" w:type="dxa"/>
            <w:tcBorders>
              <w:top w:val="single" w:sz="4" w:space="0" w:color="000000"/>
              <w:left w:val="single" w:sz="4" w:space="0" w:color="000000"/>
              <w:bottom w:val="single" w:sz="4" w:space="0" w:color="000000"/>
              <w:right w:val="single" w:sz="4" w:space="0" w:color="000000"/>
            </w:tcBorders>
          </w:tcPr>
          <w:p w14:paraId="76BB2B15" w14:textId="2E441C05" w:rsidR="00ED1D72" w:rsidRDefault="005B6C0B">
            <w:pPr>
              <w:ind w:left="1"/>
            </w:pPr>
            <w:r>
              <w:rPr>
                <w:rFonts w:ascii="Times New Roman" w:eastAsia="Times New Roman" w:hAnsi="Times New Roman" w:cs="Times New Roman"/>
                <w:sz w:val="20"/>
              </w:rPr>
              <w:t xml:space="preserve">30 </w:t>
            </w:r>
            <w:r w:rsidR="00E4145F">
              <w:rPr>
                <w:rFonts w:ascii="Times New Roman" w:eastAsia="Times New Roman" w:hAnsi="Times New Roman" w:cs="Times New Roman"/>
                <w:sz w:val="20"/>
              </w:rPr>
              <w:t>points</w:t>
            </w:r>
          </w:p>
        </w:tc>
        <w:tc>
          <w:tcPr>
            <w:tcW w:w="2880" w:type="dxa"/>
            <w:gridSpan w:val="2"/>
            <w:tcBorders>
              <w:top w:val="single" w:sz="4" w:space="0" w:color="000000"/>
              <w:left w:val="single" w:sz="4" w:space="0" w:color="000000"/>
              <w:bottom w:val="single" w:sz="4" w:space="0" w:color="000000"/>
              <w:right w:val="single" w:sz="4" w:space="0" w:color="000000"/>
            </w:tcBorders>
          </w:tcPr>
          <w:p w14:paraId="0570BF4A" w14:textId="77777777" w:rsidR="00ED1D72" w:rsidRDefault="005B6C0B">
            <w:pPr>
              <w:ind w:left="1"/>
            </w:pPr>
            <w:r>
              <w:rPr>
                <w:rFonts w:ascii="Times New Roman" w:eastAsia="Times New Roman" w:hAnsi="Times New Roman" w:cs="Times New Roman"/>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1673AB2" w14:textId="77777777" w:rsidR="00ED1D72" w:rsidRDefault="005B6C0B">
            <w:pPr>
              <w:ind w:left="1"/>
            </w:pPr>
            <w:r>
              <w:rPr>
                <w:rFonts w:ascii="Times New Roman" w:eastAsia="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0439D14" w14:textId="77777777" w:rsidR="00ED1D72" w:rsidRDefault="005B6C0B">
            <w:pPr>
              <w:ind w:left="1"/>
            </w:pPr>
            <w:r>
              <w:rPr>
                <w:rFonts w:ascii="Times New Roman" w:eastAsia="Times New Roman" w:hAnsi="Times New Roman" w:cs="Times New Roman"/>
              </w:rPr>
              <w:t xml:space="preserve"> </w:t>
            </w:r>
          </w:p>
        </w:tc>
      </w:tr>
      <w:tr w:rsidR="00E4145F" w14:paraId="2E2628E0"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684C27F" w14:textId="07B38A13" w:rsidR="00E4145F" w:rsidRDefault="00E4145F" w:rsidP="00E4145F">
            <w:r w:rsidRPr="00A06C44">
              <w:rPr>
                <w:rFonts w:ascii="Times New Roman" w:eastAsia="Times New Roman" w:hAnsi="Times New Roman" w:cs="Times New Roman"/>
                <w:b/>
                <w:sz w:val="24"/>
                <w:szCs w:val="24"/>
              </w:rPr>
              <w:t>Special indication for the subject:</w:t>
            </w:r>
          </w:p>
        </w:tc>
      </w:tr>
      <w:tr w:rsidR="00ED1D72" w14:paraId="1DCA3CBC"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08FAEFB2" w14:textId="77777777" w:rsidR="00ED1D72" w:rsidRDefault="005B6C0B">
            <w:r>
              <w:rPr>
                <w:rFonts w:ascii="Times New Roman" w:eastAsia="Times New Roman" w:hAnsi="Times New Roman" w:cs="Times New Roman"/>
              </w:rPr>
              <w:t xml:space="preserve"> </w:t>
            </w:r>
          </w:p>
        </w:tc>
      </w:tr>
      <w:tr w:rsidR="00ED1D72" w14:paraId="00693A26"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288AD32" w14:textId="5E4000E4" w:rsidR="00ED1D72" w:rsidRDefault="00E4145F">
            <w:r w:rsidRPr="00E4145F">
              <w:rPr>
                <w:rFonts w:ascii="Times New Roman" w:eastAsia="Times New Roman" w:hAnsi="Times New Roman" w:cs="Times New Roman"/>
                <w:b/>
              </w:rPr>
              <w:t xml:space="preserve">Name and surname of the teacher who prepared the data: Prof. Dr. </w:t>
            </w:r>
            <w:proofErr w:type="spellStart"/>
            <w:r w:rsidRPr="00E4145F">
              <w:rPr>
                <w:rFonts w:ascii="Times New Roman" w:eastAsia="Times New Roman" w:hAnsi="Times New Roman" w:cs="Times New Roman"/>
                <w:b/>
              </w:rPr>
              <w:t>Sanja</w:t>
            </w:r>
            <w:proofErr w:type="spellEnd"/>
            <w:r w:rsidRPr="00E4145F">
              <w:rPr>
                <w:rFonts w:ascii="Times New Roman" w:eastAsia="Times New Roman" w:hAnsi="Times New Roman" w:cs="Times New Roman"/>
                <w:b/>
              </w:rPr>
              <w:t xml:space="preserve"> </w:t>
            </w:r>
            <w:proofErr w:type="spellStart"/>
            <w:r w:rsidRPr="00E4145F">
              <w:rPr>
                <w:rFonts w:ascii="Times New Roman" w:eastAsia="Times New Roman" w:hAnsi="Times New Roman" w:cs="Times New Roman"/>
                <w:b/>
              </w:rPr>
              <w:t>Radanović</w:t>
            </w:r>
            <w:proofErr w:type="spellEnd"/>
          </w:p>
        </w:tc>
      </w:tr>
    </w:tbl>
    <w:p w14:paraId="5FE87555" w14:textId="77777777" w:rsidR="00ED1D72" w:rsidRDefault="005B6C0B">
      <w:pPr>
        <w:spacing w:after="0"/>
        <w:ind w:left="360"/>
        <w:jc w:val="both"/>
      </w:pPr>
      <w:r>
        <w:rPr>
          <w:rFonts w:ascii="Times New Roman" w:eastAsia="Times New Roman" w:hAnsi="Times New Roman" w:cs="Times New Roman"/>
          <w:b/>
          <w:sz w:val="28"/>
        </w:rPr>
        <w:t xml:space="preserve"> </w:t>
      </w:r>
    </w:p>
    <w:sectPr w:rsidR="00ED1D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563"/>
    <w:multiLevelType w:val="hybridMultilevel"/>
    <w:tmpl w:val="DB7A85FC"/>
    <w:lvl w:ilvl="0" w:tplc="A8C2B52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0ABC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2A81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EE5FD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7CCE4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0CFD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474C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34D13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0C188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54B9F"/>
    <w:multiLevelType w:val="hybridMultilevel"/>
    <w:tmpl w:val="B99E528A"/>
    <w:lvl w:ilvl="0" w:tplc="0CCA02F4">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B42EB0">
      <w:start w:val="1"/>
      <w:numFmt w:val="bullet"/>
      <w:lvlText w:val="o"/>
      <w:lvlJc w:val="left"/>
      <w:pPr>
        <w:ind w:left="1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1C0798">
      <w:start w:val="1"/>
      <w:numFmt w:val="bullet"/>
      <w:lvlText w:val="▪"/>
      <w:lvlJc w:val="left"/>
      <w:pPr>
        <w:ind w:left="1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8EAA64">
      <w:start w:val="1"/>
      <w:numFmt w:val="bullet"/>
      <w:lvlText w:val="•"/>
      <w:lvlJc w:val="left"/>
      <w:pPr>
        <w:ind w:left="2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2C6BC3C">
      <w:start w:val="1"/>
      <w:numFmt w:val="bullet"/>
      <w:lvlText w:val="o"/>
      <w:lvlJc w:val="left"/>
      <w:pPr>
        <w:ind w:left="3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C6148A">
      <w:start w:val="1"/>
      <w:numFmt w:val="bullet"/>
      <w:lvlText w:val="▪"/>
      <w:lvlJc w:val="left"/>
      <w:pPr>
        <w:ind w:left="40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350EA8E">
      <w:start w:val="1"/>
      <w:numFmt w:val="bullet"/>
      <w:lvlText w:val="•"/>
      <w:lvlJc w:val="left"/>
      <w:pPr>
        <w:ind w:left="47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947CE8">
      <w:start w:val="1"/>
      <w:numFmt w:val="bullet"/>
      <w:lvlText w:val="o"/>
      <w:lvlJc w:val="left"/>
      <w:pPr>
        <w:ind w:left="5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385D60">
      <w:start w:val="1"/>
      <w:numFmt w:val="bullet"/>
      <w:lvlText w:val="▪"/>
      <w:lvlJc w:val="left"/>
      <w:pPr>
        <w:ind w:left="6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3E70F5"/>
    <w:multiLevelType w:val="hybridMultilevel"/>
    <w:tmpl w:val="62A2498C"/>
    <w:lvl w:ilvl="0" w:tplc="D53AC3F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98990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0C9E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4EA88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1CDF1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701C5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E72C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44A2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8138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72"/>
    <w:rsid w:val="004842F2"/>
    <w:rsid w:val="005B6C0B"/>
    <w:rsid w:val="00695D39"/>
    <w:rsid w:val="00926FE7"/>
    <w:rsid w:val="00B23109"/>
    <w:rsid w:val="00CF216B"/>
    <w:rsid w:val="00E4145F"/>
    <w:rsid w:val="00ED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13D6"/>
  <w15:docId w15:val="{E92ECE5C-AD5D-40E2-943D-597F3B7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7</cp:revision>
  <dcterms:created xsi:type="dcterms:W3CDTF">2024-02-14T21:00:00Z</dcterms:created>
  <dcterms:modified xsi:type="dcterms:W3CDTF">2024-02-18T23:50:00Z</dcterms:modified>
</cp:coreProperties>
</file>