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8" w:type="dxa"/>
        <w:tblInd w:w="389" w:type="dxa"/>
        <w:tblCellMar>
          <w:top w:w="109" w:type="dxa"/>
          <w:left w:w="78" w:type="dxa"/>
          <w:bottom w:w="28" w:type="dxa"/>
          <w:right w:w="114" w:type="dxa"/>
        </w:tblCellMar>
        <w:tblLook w:val="04A0" w:firstRow="1" w:lastRow="0" w:firstColumn="1" w:lastColumn="0" w:noHBand="0" w:noVBand="1"/>
      </w:tblPr>
      <w:tblGrid>
        <w:gridCol w:w="2450"/>
        <w:gridCol w:w="7198"/>
      </w:tblGrid>
      <w:tr w:rsidR="00F23F9D" w14:paraId="29408AC0" w14:textId="77777777" w:rsidTr="008B5196">
        <w:trPr>
          <w:trHeight w:val="1383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012A54" w14:textId="77777777" w:rsidR="00F23F9D" w:rsidRDefault="00F23F9D" w:rsidP="008B5196">
            <w:pPr>
              <w:ind w:left="96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2CD24ED" wp14:editId="330E5FCE">
                  <wp:extent cx="727075" cy="727075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7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C19954" w14:textId="77777777" w:rsidR="00F23F9D" w:rsidRPr="00A06C44" w:rsidRDefault="00F23F9D" w:rsidP="008B5196">
            <w:pPr>
              <w:ind w:left="1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 OF BANJA LUKA</w:t>
            </w:r>
          </w:p>
          <w:p w14:paraId="0B2409EE" w14:textId="77777777" w:rsidR="00F23F9D" w:rsidRPr="00A06C44" w:rsidRDefault="00F23F9D" w:rsidP="008B5196">
            <w:pPr>
              <w:ind w:left="1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9D9DD9" w14:textId="77777777" w:rsidR="00F23F9D" w:rsidRDefault="00F23F9D" w:rsidP="008B5196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FACULTY OF PHILOLOGY</w:t>
            </w:r>
          </w:p>
          <w:p w14:paraId="39BD2BA7" w14:textId="77777777" w:rsidR="00F23F9D" w:rsidRDefault="00F23F9D" w:rsidP="008B5196">
            <w:pPr>
              <w:ind w:left="660" w:right="1050" w:hanging="288"/>
            </w:pPr>
          </w:p>
        </w:tc>
      </w:tr>
      <w:tr w:rsidR="00F23F9D" w14:paraId="0EFF90D4" w14:textId="77777777" w:rsidTr="008B5196">
        <w:trPr>
          <w:trHeight w:val="502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17A7F7" w14:textId="77777777" w:rsidR="00F23F9D" w:rsidRDefault="00F23F9D" w:rsidP="008B5196"/>
        </w:tc>
        <w:tc>
          <w:tcPr>
            <w:tcW w:w="7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937BC2" w14:textId="77777777" w:rsidR="00F23F9D" w:rsidRDefault="00F23F9D" w:rsidP="008B5196">
            <w:pPr>
              <w:ind w:left="674"/>
            </w:pPr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Graduate academic studies</w:t>
            </w:r>
          </w:p>
        </w:tc>
      </w:tr>
      <w:tr w:rsidR="00F23F9D" w14:paraId="5489AFDE" w14:textId="77777777" w:rsidTr="008B5196">
        <w:trPr>
          <w:trHeight w:val="706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D633" w14:textId="77777777" w:rsidR="00F23F9D" w:rsidRDefault="00F23F9D" w:rsidP="008B5196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Study program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A1D63C7" w14:textId="77777777" w:rsidR="00F23F9D" w:rsidRDefault="00F23F9D" w:rsidP="008B5196"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Methodology of language and literature teaching</w:t>
            </w:r>
          </w:p>
        </w:tc>
      </w:tr>
    </w:tbl>
    <w:p w14:paraId="412CCB1D" w14:textId="77777777" w:rsidR="00F23F9D" w:rsidRDefault="00F23F9D" w:rsidP="009475E8">
      <w:pPr>
        <w:spacing w:after="0"/>
        <w:ind w:left="36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E78EDDA" w14:textId="77777777" w:rsidR="00F23F9D" w:rsidRDefault="00F23F9D" w:rsidP="009475E8">
      <w:pPr>
        <w:spacing w:after="0"/>
        <w:ind w:left="36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9647" w:type="dxa"/>
        <w:tblInd w:w="390" w:type="dxa"/>
        <w:tblCellMar>
          <w:top w:w="70" w:type="dxa"/>
          <w:left w:w="78" w:type="dxa"/>
          <w:right w:w="26" w:type="dxa"/>
        </w:tblCellMar>
        <w:tblLook w:val="04A0" w:firstRow="1" w:lastRow="0" w:firstColumn="1" w:lastColumn="0" w:noHBand="0" w:noVBand="1"/>
      </w:tblPr>
      <w:tblGrid>
        <w:gridCol w:w="1847"/>
        <w:gridCol w:w="1851"/>
        <w:gridCol w:w="1630"/>
        <w:gridCol w:w="1620"/>
        <w:gridCol w:w="2699"/>
      </w:tblGrid>
      <w:tr w:rsidR="00F23F9D" w14:paraId="0CEDDDA0" w14:textId="77777777" w:rsidTr="008B5196">
        <w:trPr>
          <w:trHeight w:val="587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A7A0" w14:textId="77777777" w:rsidR="00F23F9D" w:rsidRDefault="00F23F9D" w:rsidP="008B519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Subject</w:t>
            </w:r>
          </w:p>
        </w:tc>
        <w:tc>
          <w:tcPr>
            <w:tcW w:w="5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</w:tcPr>
          <w:p w14:paraId="14B08077" w14:textId="77777777" w:rsidR="00F23F9D" w:rsidRDefault="00F23F9D" w:rsidP="008B5196">
            <w:pPr>
              <w:ind w:left="1"/>
            </w:pPr>
            <w:r w:rsidRPr="00F23F9D">
              <w:rPr>
                <w:rFonts w:ascii="Times New Roman" w:eastAsia="Times New Roman" w:hAnsi="Times New Roman" w:cs="Times New Roman"/>
                <w:b/>
              </w:rPr>
              <w:t>Teaching foreign languages at an early age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23D18D1" w14:textId="77777777" w:rsidR="00F23F9D" w:rsidRDefault="00F23F9D" w:rsidP="008B5196"/>
        </w:tc>
      </w:tr>
      <w:tr w:rsidR="00F23F9D" w14:paraId="504BF9B9" w14:textId="77777777" w:rsidTr="008B5196">
        <w:trPr>
          <w:trHeight w:val="70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F27B" w14:textId="77777777" w:rsidR="00F23F9D" w:rsidRDefault="00F23F9D" w:rsidP="008B5196"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2ABC" w14:textId="77777777" w:rsidR="00F23F9D" w:rsidRDefault="00F23F9D" w:rsidP="008B5196">
            <w:pPr>
              <w:ind w:left="11"/>
              <w:jc w:val="both"/>
            </w:pPr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Subject status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1DCD" w14:textId="77777777" w:rsidR="00F23F9D" w:rsidRDefault="00F23F9D" w:rsidP="008B5196">
            <w:pPr>
              <w:ind w:right="50"/>
              <w:jc w:val="center"/>
            </w:pPr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A2176" w14:textId="77777777" w:rsidR="00F23F9D" w:rsidRDefault="00F23F9D" w:rsidP="008B5196">
            <w:pPr>
              <w:ind w:left="100"/>
            </w:pPr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fund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25321" w14:textId="77777777" w:rsidR="00F23F9D" w:rsidRDefault="00F23F9D" w:rsidP="008B5196">
            <w:pPr>
              <w:ind w:right="50"/>
              <w:jc w:val="center"/>
            </w:pPr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</w:t>
            </w:r>
            <w:proofErr w:type="spellStart"/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  <w:proofErr w:type="spellEnd"/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credits</w:t>
            </w:r>
          </w:p>
        </w:tc>
      </w:tr>
      <w:tr w:rsidR="00F23F9D" w14:paraId="213B7E1B" w14:textId="77777777" w:rsidTr="008B5196">
        <w:trPr>
          <w:trHeight w:val="424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0341" w14:textId="77777777" w:rsidR="00F23F9D" w:rsidRDefault="00F23F9D" w:rsidP="008B5196">
            <w:proofErr w:type="spellStart"/>
            <w:r>
              <w:rPr>
                <w:rFonts w:ascii="Times New Roman" w:eastAsia="Times New Roman" w:hAnsi="Times New Roman" w:cs="Times New Roman"/>
              </w:rPr>
              <w:t>INJ</w:t>
            </w:r>
            <w:proofErr w:type="spell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8E4E" w14:textId="77777777" w:rsidR="00F23F9D" w:rsidRDefault="00F23F9D" w:rsidP="008B5196">
            <w:pPr>
              <w:ind w:right="52"/>
              <w:jc w:val="center"/>
            </w:pPr>
            <w:r>
              <w:t>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414C" w14:textId="77777777" w:rsidR="00F23F9D" w:rsidRDefault="00F23F9D" w:rsidP="008B519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B6DC" w14:textId="77777777" w:rsidR="00F23F9D" w:rsidRDefault="00F23F9D" w:rsidP="008B519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2+2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DCE1" w14:textId="77777777" w:rsidR="00F23F9D" w:rsidRDefault="00F23F9D" w:rsidP="008B519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F23F9D" w14:paraId="3C525B1D" w14:textId="77777777" w:rsidTr="008B5196">
        <w:trPr>
          <w:trHeight w:val="382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2618789" w14:textId="77777777" w:rsidR="00F23F9D" w:rsidRDefault="00F23F9D" w:rsidP="008B5196">
            <w:r>
              <w:rPr>
                <w:rFonts w:ascii="Times New Roman" w:eastAsia="Times New Roman" w:hAnsi="Times New Roman" w:cs="Times New Roman"/>
                <w:b/>
              </w:rPr>
              <w:t>Professors</w:t>
            </w:r>
          </w:p>
        </w:tc>
        <w:tc>
          <w:tcPr>
            <w:tcW w:w="5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94F4F" w14:textId="77777777" w:rsidR="00F23F9D" w:rsidRDefault="00F23F9D" w:rsidP="008B519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Željka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Babić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8480E9" w14:textId="77777777" w:rsidR="00F23F9D" w:rsidRDefault="00F23F9D" w:rsidP="008B5196"/>
        </w:tc>
      </w:tr>
    </w:tbl>
    <w:p w14:paraId="3E7E33BD" w14:textId="77777777" w:rsidR="00F23F9D" w:rsidRDefault="00F23F9D" w:rsidP="009475E8">
      <w:pPr>
        <w:spacing w:after="0"/>
        <w:ind w:left="360" w:right="893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47" w:type="dxa"/>
        <w:tblInd w:w="390" w:type="dxa"/>
        <w:tblCellMar>
          <w:top w:w="94" w:type="dxa"/>
          <w:left w:w="78" w:type="dxa"/>
          <w:right w:w="371" w:type="dxa"/>
        </w:tblCellMar>
        <w:tblLook w:val="04A0" w:firstRow="1" w:lastRow="0" w:firstColumn="1" w:lastColumn="0" w:noHBand="0" w:noVBand="1"/>
      </w:tblPr>
      <w:tblGrid>
        <w:gridCol w:w="9647"/>
      </w:tblGrid>
      <w:tr w:rsidR="00F23F9D" w14:paraId="5DCA7926" w14:textId="77777777" w:rsidTr="008B5196">
        <w:trPr>
          <w:trHeight w:val="379"/>
        </w:trPr>
        <w:tc>
          <w:tcPr>
            <w:tcW w:w="9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A93A916" w14:textId="5CDD2949" w:rsidR="00F23F9D" w:rsidRDefault="00F23F9D" w:rsidP="00F23F9D"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Conditioned by other subjects</w:t>
            </w:r>
          </w:p>
        </w:tc>
      </w:tr>
      <w:tr w:rsidR="00F23F9D" w14:paraId="175C30EB" w14:textId="77777777" w:rsidTr="008B5196">
        <w:trPr>
          <w:trHeight w:val="505"/>
        </w:trPr>
        <w:tc>
          <w:tcPr>
            <w:tcW w:w="9647" w:type="dxa"/>
            <w:tcBorders>
              <w:top w:val="single" w:sz="4" w:space="0" w:color="000000"/>
              <w:left w:val="single" w:sz="4" w:space="0" w:color="000000"/>
              <w:bottom w:val="single" w:sz="33" w:space="0" w:color="B3B3B3"/>
              <w:right w:val="single" w:sz="4" w:space="0" w:color="000000"/>
            </w:tcBorders>
            <w:vAlign w:val="center"/>
          </w:tcPr>
          <w:p w14:paraId="3B967D92" w14:textId="546AE8CB" w:rsidR="00F23F9D" w:rsidRDefault="00F23F9D" w:rsidP="008B5196">
            <w:proofErr w:type="gramStart"/>
            <w:r>
              <w:rPr>
                <w:rFonts w:ascii="Times New Roman" w:eastAsia="Times New Roman" w:hAnsi="Times New Roman" w:cs="Times New Roman"/>
              </w:rPr>
              <w:t>It is not conditioned by other subjects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F23F9D" w14:paraId="5164CE82" w14:textId="77777777" w:rsidTr="008B5196">
        <w:trPr>
          <w:trHeight w:val="350"/>
        </w:trPr>
        <w:tc>
          <w:tcPr>
            <w:tcW w:w="9647" w:type="dxa"/>
            <w:tcBorders>
              <w:top w:val="single" w:sz="33" w:space="0" w:color="B3B3B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6CD69E8" w14:textId="44678D69" w:rsidR="00F23F9D" w:rsidRDefault="00F23F9D" w:rsidP="00F23F9D"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 of studying the subject:</w:t>
            </w:r>
          </w:p>
        </w:tc>
      </w:tr>
      <w:tr w:rsidR="00F23F9D" w14:paraId="4AEF8298" w14:textId="77777777" w:rsidTr="008B5196">
        <w:trPr>
          <w:trHeight w:val="962"/>
        </w:trPr>
        <w:tc>
          <w:tcPr>
            <w:tcW w:w="9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4AEA" w14:textId="0F12987D" w:rsidR="00F23F9D" w:rsidRPr="00F23F9D" w:rsidRDefault="00F23F9D" w:rsidP="00F23F9D">
            <w:pPr>
              <w:ind w:right="53"/>
              <w:jc w:val="both"/>
              <w:rPr>
                <w:rFonts w:ascii="Times New Roman" w:eastAsia="Times New Roman" w:hAnsi="Times New Roman" w:cs="Times New Roman"/>
              </w:rPr>
            </w:pPr>
            <w:r w:rsidRPr="00F23F9D">
              <w:rPr>
                <w:rFonts w:ascii="Times New Roman" w:eastAsia="Times New Roman" w:hAnsi="Times New Roman" w:cs="Times New Roman"/>
              </w:rPr>
              <w:t>Students will become familiar with the peculiarities that are characteristic of foreign language teaching at an early age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23F9D"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</w:rPr>
              <w:t xml:space="preserve"> they</w:t>
            </w:r>
            <w:r w:rsidRPr="00F23F9D">
              <w:rPr>
                <w:rFonts w:ascii="Times New Roman" w:eastAsia="Times New Roman" w:hAnsi="Times New Roman" w:cs="Times New Roman"/>
              </w:rPr>
              <w:t xml:space="preserve"> will apply the acquired theoretical and practical knowledge in their own pedagogical and research practice.</w:t>
            </w:r>
          </w:p>
          <w:p w14:paraId="23533A47" w14:textId="0631C655" w:rsidR="00F23F9D" w:rsidRDefault="00F23F9D" w:rsidP="00F23F9D">
            <w:pPr>
              <w:ind w:right="53"/>
              <w:jc w:val="both"/>
            </w:pPr>
            <w:r w:rsidRPr="00F23F9D">
              <w:rPr>
                <w:rFonts w:ascii="Times New Roman" w:eastAsia="Times New Roman" w:hAnsi="Times New Roman" w:cs="Times New Roman"/>
              </w:rPr>
              <w:t>​</w:t>
            </w:r>
          </w:p>
        </w:tc>
      </w:tr>
      <w:tr w:rsidR="00F23F9D" w14:paraId="68F8F417" w14:textId="77777777" w:rsidTr="008B5196">
        <w:trPr>
          <w:trHeight w:val="389"/>
        </w:trPr>
        <w:tc>
          <w:tcPr>
            <w:tcW w:w="9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171E206" w14:textId="0910F4CC" w:rsidR="00F23F9D" w:rsidRDefault="00F23F9D" w:rsidP="00F23F9D"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outcome (Acquired knowledge):</w:t>
            </w:r>
          </w:p>
        </w:tc>
      </w:tr>
      <w:tr w:rsidR="00F23F9D" w14:paraId="24A05DC1" w14:textId="77777777" w:rsidTr="008B5196">
        <w:trPr>
          <w:trHeight w:val="1446"/>
        </w:trPr>
        <w:tc>
          <w:tcPr>
            <w:tcW w:w="9647" w:type="dxa"/>
            <w:tcBorders>
              <w:top w:val="single" w:sz="4" w:space="0" w:color="000000"/>
              <w:left w:val="single" w:sz="4" w:space="0" w:color="000000"/>
              <w:bottom w:val="single" w:sz="33" w:space="0" w:color="B3B3B3"/>
              <w:right w:val="single" w:sz="4" w:space="0" w:color="000000"/>
            </w:tcBorders>
          </w:tcPr>
          <w:p w14:paraId="7760ABDD" w14:textId="020AFE80" w:rsidR="00F23F9D" w:rsidRPr="00F23F9D" w:rsidRDefault="00F23F9D" w:rsidP="00F23F9D">
            <w:pPr>
              <w:ind w:right="53"/>
              <w:jc w:val="both"/>
              <w:rPr>
                <w:rFonts w:ascii="Times New Roman" w:eastAsia="Times New Roman" w:hAnsi="Times New Roman" w:cs="Times New Roman"/>
              </w:rPr>
            </w:pPr>
            <w:r w:rsidRPr="00F23F9D">
              <w:rPr>
                <w:rFonts w:ascii="Times New Roman" w:eastAsia="Times New Roman" w:hAnsi="Times New Roman" w:cs="Times New Roman"/>
              </w:rPr>
              <w:t xml:space="preserve">Students will be able to prepare and hold lessons with preschoolers. </w:t>
            </w:r>
            <w:proofErr w:type="gramStart"/>
            <w:r w:rsidRPr="00F23F9D">
              <w:rPr>
                <w:rFonts w:ascii="Times New Roman" w:eastAsia="Times New Roman" w:hAnsi="Times New Roman" w:cs="Times New Roman"/>
              </w:rPr>
              <w:t>Also</w:t>
            </w:r>
            <w:proofErr w:type="gramEnd"/>
            <w:r w:rsidRPr="00F23F9D">
              <w:rPr>
                <w:rFonts w:ascii="Times New Roman" w:eastAsia="Times New Roman" w:hAnsi="Times New Roman" w:cs="Times New Roman"/>
              </w:rPr>
              <w:t>, students will be able to prepare and hold lessons with students at lower elementary school and adolescent age within a formal and informal educational environment using applied linguistics apparatus that is aimed at the student.</w:t>
            </w:r>
          </w:p>
          <w:p w14:paraId="31B9167C" w14:textId="52AE4069" w:rsidR="00F23F9D" w:rsidRDefault="00F23F9D" w:rsidP="00F23F9D">
            <w:pPr>
              <w:ind w:right="53"/>
              <w:jc w:val="both"/>
            </w:pPr>
            <w:r w:rsidRPr="00F23F9D">
              <w:rPr>
                <w:rFonts w:ascii="Times New Roman" w:eastAsia="Times New Roman" w:hAnsi="Times New Roman" w:cs="Times New Roman"/>
              </w:rPr>
              <w:t>​</w:t>
            </w:r>
          </w:p>
        </w:tc>
      </w:tr>
      <w:tr w:rsidR="00F23F9D" w14:paraId="30FB1431" w14:textId="77777777" w:rsidTr="008B5196">
        <w:trPr>
          <w:trHeight w:val="349"/>
        </w:trPr>
        <w:tc>
          <w:tcPr>
            <w:tcW w:w="9647" w:type="dxa"/>
            <w:tcBorders>
              <w:top w:val="single" w:sz="33" w:space="0" w:color="B3B3B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7396C43" w14:textId="7F1382F1" w:rsidR="00F23F9D" w:rsidRDefault="00F23F9D" w:rsidP="00F23F9D"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content:</w:t>
            </w:r>
          </w:p>
        </w:tc>
      </w:tr>
      <w:tr w:rsidR="00F23F9D" w14:paraId="2E12987D" w14:textId="77777777" w:rsidTr="008B5196">
        <w:trPr>
          <w:trHeight w:val="1164"/>
        </w:trPr>
        <w:tc>
          <w:tcPr>
            <w:tcW w:w="9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6B14" w14:textId="0DC99C1D" w:rsidR="00F23F9D" w:rsidRDefault="00F23F9D" w:rsidP="008B5196">
            <w:pPr>
              <w:ind w:right="53"/>
              <w:jc w:val="both"/>
            </w:pPr>
            <w:r w:rsidRPr="00F23F9D">
              <w:rPr>
                <w:rFonts w:ascii="Times New Roman" w:eastAsia="Times New Roman" w:hAnsi="Times New Roman" w:cs="Times New Roman"/>
              </w:rPr>
              <w:t xml:space="preserve">Students will learn about the characteristics and specifics of teaching a foreign language at an early </w:t>
            </w:r>
            <w:proofErr w:type="gramStart"/>
            <w:r w:rsidRPr="00F23F9D">
              <w:rPr>
                <w:rFonts w:ascii="Times New Roman" w:eastAsia="Times New Roman" w:hAnsi="Times New Roman" w:cs="Times New Roman"/>
              </w:rPr>
              <w:t>age,</w:t>
            </w:r>
            <w:proofErr w:type="gramEnd"/>
            <w:r w:rsidRPr="00F23F9D">
              <w:rPr>
                <w:rFonts w:ascii="Times New Roman" w:eastAsia="Times New Roman" w:hAnsi="Times New Roman" w:cs="Times New Roman"/>
              </w:rPr>
              <w:t xml:space="preserve"> and theoretically and practically process topics related to the teaching of integrated language skills, grammar, vocabulary, and the evaluation of student achievements.</w:t>
            </w:r>
          </w:p>
        </w:tc>
      </w:tr>
      <w:tr w:rsidR="00F23F9D" w14:paraId="6F857B36" w14:textId="77777777" w:rsidTr="008B5196">
        <w:trPr>
          <w:trHeight w:val="389"/>
        </w:trPr>
        <w:tc>
          <w:tcPr>
            <w:tcW w:w="9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A70AC0F" w14:textId="7335EAAF" w:rsidR="00F23F9D" w:rsidRDefault="00F23F9D" w:rsidP="00F23F9D">
            <w:r w:rsidRPr="00A06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Teaching methods and mastering the material:</w:t>
            </w:r>
          </w:p>
        </w:tc>
      </w:tr>
    </w:tbl>
    <w:p w14:paraId="6ED4B68F" w14:textId="77777777" w:rsidR="00F23F9D" w:rsidRDefault="00F23F9D" w:rsidP="009475E8">
      <w:pPr>
        <w:spacing w:after="0"/>
        <w:ind w:left="-1440" w:right="10800"/>
      </w:pPr>
    </w:p>
    <w:tbl>
      <w:tblPr>
        <w:tblStyle w:val="TableGrid"/>
        <w:tblW w:w="9647" w:type="dxa"/>
        <w:tblInd w:w="390" w:type="dxa"/>
        <w:tblCellMar>
          <w:top w:w="86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2581"/>
        <w:gridCol w:w="1126"/>
        <w:gridCol w:w="1980"/>
        <w:gridCol w:w="1080"/>
        <w:gridCol w:w="1981"/>
        <w:gridCol w:w="899"/>
      </w:tblGrid>
      <w:tr w:rsidR="00F23F9D" w14:paraId="39F99D33" w14:textId="77777777" w:rsidTr="008B5196">
        <w:trPr>
          <w:trHeight w:val="4953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240F" w14:textId="77777777" w:rsidR="00F23F9D" w:rsidRPr="00F23F9D" w:rsidRDefault="00F23F9D" w:rsidP="00F23F9D">
            <w:pPr>
              <w:rPr>
                <w:rFonts w:ascii="Times New Roman" w:eastAsia="Times New Roman" w:hAnsi="Times New Roman" w:cs="Times New Roman"/>
              </w:rPr>
            </w:pPr>
            <w:r w:rsidRPr="00F23F9D">
              <w:rPr>
                <w:rFonts w:ascii="Times New Roman" w:eastAsia="Times New Roman" w:hAnsi="Times New Roman" w:cs="Times New Roman"/>
              </w:rPr>
              <w:t>Lectures, exercises, seminar papers, consultations, independent work at home.</w:t>
            </w:r>
          </w:p>
          <w:p w14:paraId="3E282B31" w14:textId="77777777" w:rsidR="00F23F9D" w:rsidRPr="00F23F9D" w:rsidRDefault="00F23F9D" w:rsidP="00F23F9D">
            <w:pPr>
              <w:rPr>
                <w:rFonts w:ascii="Times New Roman" w:eastAsia="Times New Roman" w:hAnsi="Times New Roman" w:cs="Times New Roman"/>
              </w:rPr>
            </w:pPr>
            <w:r w:rsidRPr="00F23F9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60DC52D" w14:textId="77777777" w:rsidR="00F23F9D" w:rsidRPr="00F23F9D" w:rsidRDefault="00F23F9D" w:rsidP="00F23F9D">
            <w:pPr>
              <w:rPr>
                <w:rFonts w:ascii="Times New Roman" w:eastAsia="Times New Roman" w:hAnsi="Times New Roman" w:cs="Times New Roman"/>
              </w:rPr>
            </w:pPr>
            <w:r w:rsidRPr="00F23F9D">
              <w:rPr>
                <w:rFonts w:ascii="Times New Roman" w:eastAsia="Times New Roman" w:hAnsi="Times New Roman" w:cs="Times New Roman"/>
              </w:rPr>
              <w:t>The following thematic units will be covered:</w:t>
            </w:r>
          </w:p>
          <w:p w14:paraId="79522909" w14:textId="77777777" w:rsidR="00F23F9D" w:rsidRPr="00F23F9D" w:rsidRDefault="00F23F9D" w:rsidP="00F23F9D">
            <w:pPr>
              <w:rPr>
                <w:rFonts w:ascii="Times New Roman" w:eastAsia="Times New Roman" w:hAnsi="Times New Roman" w:cs="Times New Roman"/>
              </w:rPr>
            </w:pPr>
            <w:r w:rsidRPr="00F23F9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FFD285E" w14:textId="77777777" w:rsidR="00F23F9D" w:rsidRPr="00F23F9D" w:rsidRDefault="00F23F9D" w:rsidP="00F23F9D">
            <w:pPr>
              <w:rPr>
                <w:rFonts w:ascii="Times New Roman" w:eastAsia="Times New Roman" w:hAnsi="Times New Roman" w:cs="Times New Roman"/>
              </w:rPr>
            </w:pPr>
            <w:r w:rsidRPr="00F23F9D">
              <w:rPr>
                <w:rFonts w:ascii="Times New Roman" w:eastAsia="Times New Roman" w:hAnsi="Times New Roman" w:cs="Times New Roman"/>
              </w:rPr>
              <w:t>- Peculiarities of teaching foreign languages at an early age</w:t>
            </w:r>
          </w:p>
          <w:p w14:paraId="0E027FC9" w14:textId="77777777" w:rsidR="00F23F9D" w:rsidRPr="00F23F9D" w:rsidRDefault="00F23F9D" w:rsidP="00F23F9D">
            <w:pPr>
              <w:rPr>
                <w:rFonts w:ascii="Times New Roman" w:eastAsia="Times New Roman" w:hAnsi="Times New Roman" w:cs="Times New Roman"/>
              </w:rPr>
            </w:pPr>
            <w:r w:rsidRPr="00F23F9D">
              <w:rPr>
                <w:rFonts w:ascii="Times New Roman" w:eastAsia="Times New Roman" w:hAnsi="Times New Roman" w:cs="Times New Roman"/>
              </w:rPr>
              <w:t>- Children, young people and the concept of student language</w:t>
            </w:r>
          </w:p>
          <w:p w14:paraId="10ECE923" w14:textId="77777777" w:rsidR="00F23F9D" w:rsidRPr="00F23F9D" w:rsidRDefault="00F23F9D" w:rsidP="00F23F9D">
            <w:pPr>
              <w:rPr>
                <w:rFonts w:ascii="Times New Roman" w:eastAsia="Times New Roman" w:hAnsi="Times New Roman" w:cs="Times New Roman"/>
              </w:rPr>
            </w:pPr>
            <w:r w:rsidRPr="00F23F9D">
              <w:rPr>
                <w:rFonts w:ascii="Times New Roman" w:eastAsia="Times New Roman" w:hAnsi="Times New Roman" w:cs="Times New Roman"/>
              </w:rPr>
              <w:t>- Teaching pronunciation</w:t>
            </w:r>
          </w:p>
          <w:p w14:paraId="6BB89025" w14:textId="77777777" w:rsidR="00F23F9D" w:rsidRPr="00F23F9D" w:rsidRDefault="00F23F9D" w:rsidP="00F23F9D">
            <w:pPr>
              <w:rPr>
                <w:rFonts w:ascii="Times New Roman" w:eastAsia="Times New Roman" w:hAnsi="Times New Roman" w:cs="Times New Roman"/>
              </w:rPr>
            </w:pPr>
            <w:r w:rsidRPr="00F23F9D">
              <w:rPr>
                <w:rFonts w:ascii="Times New Roman" w:eastAsia="Times New Roman" w:hAnsi="Times New Roman" w:cs="Times New Roman"/>
              </w:rPr>
              <w:t>- Teaching reading</w:t>
            </w:r>
          </w:p>
          <w:p w14:paraId="227ED0A2" w14:textId="77777777" w:rsidR="00F23F9D" w:rsidRPr="00F23F9D" w:rsidRDefault="00F23F9D" w:rsidP="00F23F9D">
            <w:pPr>
              <w:rPr>
                <w:rFonts w:ascii="Times New Roman" w:eastAsia="Times New Roman" w:hAnsi="Times New Roman" w:cs="Times New Roman"/>
              </w:rPr>
            </w:pPr>
            <w:r w:rsidRPr="00F23F9D">
              <w:rPr>
                <w:rFonts w:ascii="Times New Roman" w:eastAsia="Times New Roman" w:hAnsi="Times New Roman" w:cs="Times New Roman"/>
              </w:rPr>
              <w:t>- Teaching writing</w:t>
            </w:r>
          </w:p>
          <w:p w14:paraId="76168D9F" w14:textId="77777777" w:rsidR="00F23F9D" w:rsidRPr="00F23F9D" w:rsidRDefault="00F23F9D" w:rsidP="00F23F9D">
            <w:pPr>
              <w:rPr>
                <w:rFonts w:ascii="Times New Roman" w:eastAsia="Times New Roman" w:hAnsi="Times New Roman" w:cs="Times New Roman"/>
              </w:rPr>
            </w:pPr>
            <w:r w:rsidRPr="00F23F9D">
              <w:rPr>
                <w:rFonts w:ascii="Times New Roman" w:eastAsia="Times New Roman" w:hAnsi="Times New Roman" w:cs="Times New Roman"/>
              </w:rPr>
              <w:t>- Teaching listening</w:t>
            </w:r>
          </w:p>
          <w:p w14:paraId="5A44047F" w14:textId="77777777" w:rsidR="00F23F9D" w:rsidRPr="00F23F9D" w:rsidRDefault="00F23F9D" w:rsidP="00F23F9D">
            <w:pPr>
              <w:rPr>
                <w:rFonts w:ascii="Times New Roman" w:eastAsia="Times New Roman" w:hAnsi="Times New Roman" w:cs="Times New Roman"/>
              </w:rPr>
            </w:pPr>
            <w:r w:rsidRPr="00F23F9D">
              <w:rPr>
                <w:rFonts w:ascii="Times New Roman" w:eastAsia="Times New Roman" w:hAnsi="Times New Roman" w:cs="Times New Roman"/>
              </w:rPr>
              <w:t>- Teaching speech</w:t>
            </w:r>
          </w:p>
          <w:p w14:paraId="636E53EA" w14:textId="77777777" w:rsidR="00F23F9D" w:rsidRDefault="00F23F9D" w:rsidP="00F23F9D">
            <w:pPr>
              <w:rPr>
                <w:rFonts w:ascii="Times New Roman" w:eastAsia="Times New Roman" w:hAnsi="Times New Roman" w:cs="Times New Roman"/>
              </w:rPr>
            </w:pPr>
            <w:r w:rsidRPr="00F23F9D">
              <w:rPr>
                <w:rFonts w:ascii="Times New Roman" w:eastAsia="Times New Roman" w:hAnsi="Times New Roman" w:cs="Times New Roman"/>
              </w:rPr>
              <w:t>- Teaching grammar - Teaching vocabulary</w:t>
            </w:r>
          </w:p>
          <w:p w14:paraId="0BF7BC25" w14:textId="0F1994CE" w:rsidR="00F23F9D" w:rsidRPr="00F23F9D" w:rsidRDefault="00F23F9D" w:rsidP="00F23F9D">
            <w:pPr>
              <w:rPr>
                <w:rFonts w:ascii="Times New Roman" w:eastAsia="Times New Roman" w:hAnsi="Times New Roman" w:cs="Times New Roman"/>
              </w:rPr>
            </w:pPr>
            <w:r w:rsidRPr="00F23F9D">
              <w:rPr>
                <w:rFonts w:ascii="Times New Roman" w:eastAsia="Times New Roman" w:hAnsi="Times New Roman" w:cs="Times New Roman"/>
              </w:rPr>
              <w:t>- Evaluation and testing</w:t>
            </w:r>
          </w:p>
        </w:tc>
      </w:tr>
      <w:tr w:rsidR="00F23F9D" w14:paraId="6DC40BB4" w14:textId="77777777" w:rsidTr="008B5196">
        <w:trPr>
          <w:trHeight w:val="389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8108B7D" w14:textId="0A122530" w:rsidR="00F23F9D" w:rsidRDefault="00F23F9D" w:rsidP="008B5196">
            <w:r>
              <w:rPr>
                <w:rFonts w:ascii="Times New Roman" w:eastAsia="Times New Roman" w:hAnsi="Times New Roman" w:cs="Times New Roman"/>
                <w:b/>
              </w:rPr>
              <w:t>Literature: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F23F9D" w14:paraId="62E3CA6E" w14:textId="77777777" w:rsidTr="008B5196">
        <w:trPr>
          <w:trHeight w:val="4813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33" w:space="0" w:color="B3B3B3"/>
              <w:right w:val="single" w:sz="4" w:space="0" w:color="000000"/>
            </w:tcBorders>
            <w:vAlign w:val="center"/>
          </w:tcPr>
          <w:p w14:paraId="1501FBAB" w14:textId="77777777" w:rsidR="00F23F9D" w:rsidRDefault="00F23F9D" w:rsidP="008B5196">
            <w:pPr>
              <w:numPr>
                <w:ilvl w:val="0"/>
                <w:numId w:val="2"/>
              </w:numPr>
              <w:spacing w:after="71" w:line="285" w:lineRule="auto"/>
              <w:ind w:hanging="240"/>
            </w:pPr>
            <w:r>
              <w:rPr>
                <w:rFonts w:ascii="Times New Roman" w:eastAsia="Times New Roman" w:hAnsi="Times New Roman" w:cs="Times New Roman"/>
              </w:rPr>
              <w:t xml:space="preserve">Pinter, A. (2011). </w:t>
            </w:r>
            <w:r>
              <w:rPr>
                <w:rFonts w:ascii="Times New Roman" w:eastAsia="Times New Roman" w:hAnsi="Times New Roman" w:cs="Times New Roman"/>
                <w:i/>
              </w:rPr>
              <w:t>Children Learning Second Language.</w:t>
            </w:r>
            <w:r>
              <w:rPr>
                <w:rFonts w:ascii="Times New Roman" w:eastAsia="Times New Roman" w:hAnsi="Times New Roman" w:cs="Times New Roman"/>
              </w:rPr>
              <w:t xml:space="preserve"> Basingstoke: Palgrave Macmillan.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-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Cameron, L. (2001). </w:t>
            </w:r>
            <w:r>
              <w:rPr>
                <w:rFonts w:ascii="Times New Roman" w:eastAsia="Times New Roman" w:hAnsi="Times New Roman" w:cs="Times New Roman"/>
                <w:i/>
              </w:rPr>
              <w:t>Teaching Languages to Young Learners</w:t>
            </w:r>
            <w:r>
              <w:rPr>
                <w:rFonts w:ascii="Times New Roman" w:eastAsia="Times New Roman" w:hAnsi="Times New Roman" w:cs="Times New Roman"/>
              </w:rPr>
              <w:t>. Cambridge: Cambridge University Press.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08208B98" w14:textId="77777777" w:rsidR="00F23F9D" w:rsidRDefault="00F23F9D" w:rsidP="008B5196">
            <w:pPr>
              <w:numPr>
                <w:ilvl w:val="0"/>
                <w:numId w:val="2"/>
              </w:numPr>
              <w:spacing w:after="84"/>
              <w:ind w:hanging="24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Cremlin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T. et al. (2009). </w:t>
            </w:r>
            <w:r>
              <w:rPr>
                <w:rFonts w:ascii="Times New Roman" w:eastAsia="Times New Roman" w:hAnsi="Times New Roman" w:cs="Times New Roman"/>
                <w:i/>
              </w:rPr>
              <w:t>Teaching English Creatively</w:t>
            </w:r>
            <w:r>
              <w:rPr>
                <w:rFonts w:ascii="Times New Roman" w:eastAsia="Times New Roman" w:hAnsi="Times New Roman" w:cs="Times New Roman"/>
              </w:rPr>
              <w:t>. London and New York: Routledge.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6397E9BC" w14:textId="77777777" w:rsidR="00F23F9D" w:rsidRDefault="00F23F9D" w:rsidP="008B5196">
            <w:pPr>
              <w:numPr>
                <w:ilvl w:val="0"/>
                <w:numId w:val="2"/>
              </w:numPr>
              <w:spacing w:after="78" w:line="264" w:lineRule="auto"/>
              <w:ind w:hanging="240"/>
            </w:pPr>
            <w:r w:rsidRPr="00F23F9D">
              <w:rPr>
                <w:rFonts w:ascii="Times New Roman" w:eastAsia="Times New Roman" w:hAnsi="Times New Roman" w:cs="Times New Roman"/>
                <w:lang w:val="de-DE"/>
              </w:rPr>
              <w:t>Hoffman, R., &amp; Weis, I. (2011).</w:t>
            </w:r>
            <w:r w:rsidRPr="00F23F9D">
              <w:rPr>
                <w:rFonts w:ascii="Times New Roman" w:eastAsia="Times New Roman" w:hAnsi="Times New Roman" w:cs="Times New Roman"/>
                <w:i/>
                <w:lang w:val="de-DE"/>
              </w:rPr>
              <w:t xml:space="preserve"> Lehrerbücherei Grundschule: Deutsch als Zweitsprache.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Alle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Kindern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lernen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Deutsch</w:t>
            </w:r>
            <w:r>
              <w:rPr>
                <w:rFonts w:ascii="Times New Roman" w:eastAsia="Times New Roman" w:hAnsi="Times New Roman" w:cs="Times New Roman"/>
              </w:rPr>
              <w:t xml:space="preserve">. Berlin: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Cornelsen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Verlag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55EEAEE2" w14:textId="77777777" w:rsidR="00F23F9D" w:rsidRPr="00F23F9D" w:rsidRDefault="00F23F9D" w:rsidP="008B5196">
            <w:pPr>
              <w:numPr>
                <w:ilvl w:val="0"/>
                <w:numId w:val="2"/>
              </w:numPr>
              <w:spacing w:after="90" w:line="257" w:lineRule="auto"/>
              <w:ind w:hanging="240"/>
              <w:rPr>
                <w:lang w:val="de-DE"/>
              </w:rPr>
            </w:pPr>
            <w:r w:rsidRPr="00F23F9D">
              <w:rPr>
                <w:rFonts w:ascii="Times New Roman" w:eastAsia="Times New Roman" w:hAnsi="Times New Roman" w:cs="Times New Roman"/>
                <w:lang w:val="de-DE"/>
              </w:rPr>
              <w:t xml:space="preserve">Jeuk, S. (2015). </w:t>
            </w:r>
            <w:r w:rsidRPr="00F23F9D">
              <w:rPr>
                <w:rFonts w:ascii="Times New Roman" w:eastAsia="Times New Roman" w:hAnsi="Times New Roman" w:cs="Times New Roman"/>
                <w:i/>
                <w:lang w:val="de-DE"/>
              </w:rPr>
              <w:t>Deutsch als Zweitsprache in der Schule. Grundlagen – Diagnose – Förderung</w:t>
            </w:r>
            <w:r w:rsidRPr="00F23F9D">
              <w:rPr>
                <w:rFonts w:ascii="Times New Roman" w:eastAsia="Times New Roman" w:hAnsi="Times New Roman" w:cs="Times New Roman"/>
                <w:lang w:val="de-DE"/>
              </w:rPr>
              <w:t>. Stuttgart: Kohlhammer.</w:t>
            </w:r>
            <w:r w:rsidRPr="00F23F9D">
              <w:rPr>
                <w:rFonts w:ascii="Times New Roman" w:eastAsia="Times New Roman" w:hAnsi="Times New Roman" w:cs="Times New Roman"/>
                <w:sz w:val="26"/>
                <w:lang w:val="de-DE"/>
              </w:rPr>
              <w:t xml:space="preserve"> </w:t>
            </w:r>
          </w:p>
          <w:p w14:paraId="40B7E8EC" w14:textId="77777777" w:rsidR="00F23F9D" w:rsidRDefault="00F23F9D" w:rsidP="008B5196">
            <w:pPr>
              <w:numPr>
                <w:ilvl w:val="0"/>
                <w:numId w:val="2"/>
              </w:numPr>
              <w:spacing w:after="69" w:line="242" w:lineRule="auto"/>
              <w:ind w:hanging="240"/>
            </w:pPr>
            <w:r w:rsidRPr="00F23F9D">
              <w:rPr>
                <w:rFonts w:ascii="Times New Roman" w:eastAsia="Times New Roman" w:hAnsi="Times New Roman" w:cs="Times New Roman"/>
                <w:lang w:val="de-DE"/>
              </w:rPr>
              <w:t xml:space="preserve">Roth, H. J. (2014). HAVAS 5. Diagnostik von Sprachkompetenzen im Vor- und Grundschulalter bei Kindern mit und ohne Migrationshintergrund. </w:t>
            </w:r>
            <w:r>
              <w:rPr>
                <w:rFonts w:ascii="Times New Roman" w:eastAsia="Times New Roman" w:hAnsi="Times New Roman" w:cs="Times New Roman"/>
              </w:rPr>
              <w:t xml:space="preserve">In: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Rühle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S., Müller, A.,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Knobloch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P. D. </w:t>
            </w:r>
          </w:p>
          <w:p w14:paraId="6A6F70E3" w14:textId="77777777" w:rsidR="00F23F9D" w:rsidRPr="00F23F9D" w:rsidRDefault="00F23F9D" w:rsidP="008B5196">
            <w:pPr>
              <w:spacing w:after="100"/>
              <w:ind w:left="240"/>
              <w:rPr>
                <w:lang w:val="de-DE"/>
              </w:rPr>
            </w:pPr>
            <w:r w:rsidRPr="00F23F9D">
              <w:rPr>
                <w:rFonts w:ascii="Times New Roman" w:eastAsia="Times New Roman" w:hAnsi="Times New Roman" w:cs="Times New Roman"/>
                <w:i/>
                <w:lang w:val="de-DE"/>
              </w:rPr>
              <w:t>Mehrsprachigkeit – Diversität - Internationalität</w:t>
            </w:r>
            <w:r w:rsidRPr="00F23F9D">
              <w:rPr>
                <w:rFonts w:ascii="Times New Roman" w:eastAsia="Times New Roman" w:hAnsi="Times New Roman" w:cs="Times New Roman"/>
                <w:lang w:val="de-DE"/>
              </w:rPr>
              <w:t>. Münster-New York: Waxman, 157–184</w:t>
            </w:r>
            <w:r w:rsidRPr="00F23F9D">
              <w:rPr>
                <w:rFonts w:ascii="Times New Roman" w:eastAsia="Times New Roman" w:hAnsi="Times New Roman" w:cs="Times New Roman"/>
                <w:sz w:val="26"/>
                <w:lang w:val="de-DE"/>
              </w:rPr>
              <w:t xml:space="preserve"> </w:t>
            </w:r>
          </w:p>
          <w:p w14:paraId="504A956C" w14:textId="77777777" w:rsidR="00F23F9D" w:rsidRPr="00F23F9D" w:rsidRDefault="00F23F9D" w:rsidP="008B5196">
            <w:pPr>
              <w:numPr>
                <w:ilvl w:val="0"/>
                <w:numId w:val="2"/>
              </w:numPr>
              <w:spacing w:after="97"/>
              <w:ind w:hanging="240"/>
              <w:rPr>
                <w:lang w:val="de-DE"/>
              </w:rPr>
            </w:pPr>
            <w:r w:rsidRPr="00F23F9D">
              <w:rPr>
                <w:rFonts w:ascii="Times New Roman" w:eastAsia="Times New Roman" w:hAnsi="Times New Roman" w:cs="Times New Roman"/>
                <w:lang w:val="de-DE"/>
              </w:rPr>
              <w:t xml:space="preserve">Durbaba, O. (2011). </w:t>
            </w:r>
            <w:r w:rsidRPr="00F23F9D">
              <w:rPr>
                <w:rFonts w:ascii="Times New Roman" w:eastAsia="Times New Roman" w:hAnsi="Times New Roman" w:cs="Times New Roman"/>
                <w:i/>
                <w:lang w:val="de-DE"/>
              </w:rPr>
              <w:t>Teorija i praksa učenja i nastave stranih jezika</w:t>
            </w:r>
            <w:r w:rsidRPr="00F23F9D">
              <w:rPr>
                <w:rFonts w:ascii="Times New Roman" w:eastAsia="Times New Roman" w:hAnsi="Times New Roman" w:cs="Times New Roman"/>
                <w:lang w:val="de-DE"/>
              </w:rPr>
              <w:t>. Beograd: Zavod za udžbenike.</w:t>
            </w:r>
            <w:r w:rsidRPr="00F23F9D">
              <w:rPr>
                <w:rFonts w:ascii="Times New Roman" w:eastAsia="Times New Roman" w:hAnsi="Times New Roman" w:cs="Times New Roman"/>
                <w:sz w:val="26"/>
                <w:lang w:val="de-DE"/>
              </w:rPr>
              <w:t xml:space="preserve"> </w:t>
            </w:r>
          </w:p>
          <w:p w14:paraId="58532BB8" w14:textId="77777777" w:rsidR="00F23F9D" w:rsidRDefault="00F23F9D" w:rsidP="008B5196">
            <w:pPr>
              <w:numPr>
                <w:ilvl w:val="0"/>
                <w:numId w:val="2"/>
              </w:numPr>
              <w:spacing w:after="85"/>
              <w:ind w:hanging="240"/>
            </w:pPr>
            <w:r w:rsidRPr="00F23F9D">
              <w:rPr>
                <w:rFonts w:ascii="Times New Roman" w:eastAsia="Times New Roman" w:hAnsi="Times New Roman" w:cs="Times New Roman"/>
                <w:lang w:val="de-DE"/>
              </w:rPr>
              <w:t xml:space="preserve">Đurović, T. (1996). </w:t>
            </w:r>
            <w:r w:rsidRPr="00F23F9D">
              <w:rPr>
                <w:rFonts w:ascii="Times New Roman" w:eastAsia="Times New Roman" w:hAnsi="Times New Roman" w:cs="Times New Roman"/>
                <w:i/>
                <w:lang w:val="de-DE"/>
              </w:rPr>
              <w:t>Asimetrija mozga i učenje stranog jezika</w:t>
            </w:r>
            <w:r w:rsidRPr="00F23F9D">
              <w:rPr>
                <w:rFonts w:ascii="Times New Roman" w:eastAsia="Times New Roman" w:hAnsi="Times New Roman" w:cs="Times New Roman"/>
                <w:lang w:val="de-D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 xml:space="preserve">Beograd: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MbG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09C129BC" w14:textId="77777777" w:rsidR="00F23F9D" w:rsidRDefault="00F23F9D" w:rsidP="008B5196">
            <w:pPr>
              <w:numPr>
                <w:ilvl w:val="0"/>
                <w:numId w:val="2"/>
              </w:numPr>
              <w:spacing w:after="86"/>
              <w:ind w:hanging="24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Mazzotta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P. (2001).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Didattica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delle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lingue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straniere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nella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scuola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di bas</w:t>
            </w:r>
            <w:r>
              <w:rPr>
                <w:rFonts w:ascii="Times New Roman" w:eastAsia="Times New Roman" w:hAnsi="Times New Roman" w:cs="Times New Roman"/>
              </w:rPr>
              <w:t xml:space="preserve">e. Milano: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Guerini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526AB663" w14:textId="77777777" w:rsidR="00F23F9D" w:rsidRDefault="00F23F9D" w:rsidP="008B5196">
            <w:pPr>
              <w:numPr>
                <w:ilvl w:val="0"/>
                <w:numId w:val="2"/>
              </w:numPr>
              <w:ind w:hanging="240"/>
            </w:pPr>
            <w:r>
              <w:rPr>
                <w:rFonts w:ascii="Times New Roman" w:eastAsia="Times New Roman" w:hAnsi="Times New Roman" w:cs="Times New Roman"/>
              </w:rPr>
              <w:t xml:space="preserve">O’Neil, C. (2004).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Les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enfants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et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l’enseignement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langues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étrangères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Credif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Didier.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F23F9D" w14:paraId="59F39C89" w14:textId="77777777" w:rsidTr="008B5196">
        <w:trPr>
          <w:trHeight w:val="349"/>
        </w:trPr>
        <w:tc>
          <w:tcPr>
            <w:tcW w:w="9647" w:type="dxa"/>
            <w:gridSpan w:val="6"/>
            <w:tcBorders>
              <w:top w:val="single" w:sz="33" w:space="0" w:color="B3B3B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7D9CF54" w14:textId="74AE6D88" w:rsidR="00F23F9D" w:rsidRDefault="004D5B52" w:rsidP="00F23F9D">
            <w:r w:rsidRPr="00EE1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Forms of knowledge testing and assessment:</w:t>
            </w:r>
          </w:p>
        </w:tc>
      </w:tr>
      <w:tr w:rsidR="00F23F9D" w14:paraId="4A975A46" w14:textId="77777777" w:rsidTr="008B5196">
        <w:trPr>
          <w:trHeight w:val="501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177F" w14:textId="77777777" w:rsidR="00F23F9D" w:rsidRDefault="00F23F9D" w:rsidP="008B5196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F23F9D" w14:paraId="4643F128" w14:textId="77777777" w:rsidTr="00F23F9D">
        <w:trPr>
          <w:trHeight w:val="65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0214" w14:textId="0ECBA518" w:rsidR="00F23F9D" w:rsidRDefault="00F23F9D" w:rsidP="008B5196">
            <w:r>
              <w:rPr>
                <w:rFonts w:ascii="Times New Roman" w:eastAsia="Times New Roman" w:hAnsi="Times New Roman" w:cs="Times New Roman"/>
                <w:b/>
              </w:rPr>
              <w:t>Seminar papers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7A27" w14:textId="77777777" w:rsidR="00F23F9D" w:rsidRDefault="00F23F9D" w:rsidP="008B519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0F8C" w14:textId="77777777" w:rsidR="00F23F9D" w:rsidRDefault="00F23F9D" w:rsidP="008B519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3E7C" w14:textId="77777777" w:rsidR="00F23F9D" w:rsidRDefault="00F23F9D" w:rsidP="008B519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DF9C" w14:textId="77777777" w:rsidR="00F23F9D" w:rsidRDefault="00F23F9D" w:rsidP="008B519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1EDD" w14:textId="77777777" w:rsidR="00F23F9D" w:rsidRDefault="00F23F9D" w:rsidP="008B5196">
            <w:pPr>
              <w:ind w:left="188"/>
            </w:pPr>
            <w:r>
              <w:rPr>
                <w:rFonts w:ascii="Times New Roman" w:eastAsia="Times New Roman" w:hAnsi="Times New Roman" w:cs="Times New Roman"/>
                <w:b/>
              </w:rPr>
              <w:t>50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F23F9D" w14:paraId="389AD880" w14:textId="77777777" w:rsidTr="00F23F9D">
        <w:trPr>
          <w:trHeight w:val="472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76273" w14:textId="4E6E1D04" w:rsidR="00F23F9D" w:rsidRDefault="00F23F9D" w:rsidP="008B5196">
            <w:r>
              <w:rPr>
                <w:rFonts w:ascii="Times New Roman" w:eastAsia="Times New Roman" w:hAnsi="Times New Roman" w:cs="Times New Roman"/>
                <w:b/>
              </w:rPr>
              <w:t>Final exam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A43A" w14:textId="77777777" w:rsidR="00F23F9D" w:rsidRDefault="00F23F9D" w:rsidP="008B519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25BB" w14:textId="77777777" w:rsidR="00F23F9D" w:rsidRDefault="00F23F9D" w:rsidP="008B519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368C" w14:textId="77777777" w:rsidR="00F23F9D" w:rsidRDefault="00F23F9D" w:rsidP="008B519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7ADE" w14:textId="77777777" w:rsidR="00F23F9D" w:rsidRDefault="00F23F9D" w:rsidP="008B519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609B" w14:textId="77777777" w:rsidR="00F23F9D" w:rsidRDefault="00F23F9D" w:rsidP="008B5196">
            <w:pPr>
              <w:ind w:left="188"/>
            </w:pPr>
            <w:r>
              <w:rPr>
                <w:rFonts w:ascii="Times New Roman" w:eastAsia="Times New Roman" w:hAnsi="Times New Roman" w:cs="Times New Roman"/>
                <w:b/>
              </w:rPr>
              <w:t>50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F23F9D" w14:paraId="2099AB0F" w14:textId="77777777" w:rsidTr="008B5196">
        <w:trPr>
          <w:trHeight w:val="389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7707733" w14:textId="4F8EA88C" w:rsidR="00F23F9D" w:rsidRDefault="004D5B52" w:rsidP="008B5196">
            <w:r>
              <w:rPr>
                <w:rFonts w:ascii="Times New Roman" w:eastAsia="Times New Roman" w:hAnsi="Times New Roman" w:cs="Times New Roman"/>
                <w:b/>
              </w:rPr>
              <w:t>Special indication for the lesson:</w:t>
            </w:r>
            <w:r w:rsidR="00F23F9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F23F9D" w14:paraId="48FA7C90" w14:textId="77777777" w:rsidTr="008B5196">
        <w:trPr>
          <w:trHeight w:val="470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1586" w14:textId="77777777" w:rsidR="00F23F9D" w:rsidRDefault="00F23F9D" w:rsidP="008B5196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F23F9D" w14:paraId="5028C6F6" w14:textId="77777777" w:rsidTr="008B5196">
        <w:trPr>
          <w:trHeight w:val="382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20AFB98" w14:textId="77777777" w:rsidR="004D5B52" w:rsidRPr="004D5B52" w:rsidRDefault="004D5B52" w:rsidP="004D5B52">
            <w:pPr>
              <w:rPr>
                <w:rFonts w:ascii="Times New Roman" w:eastAsia="Times New Roman" w:hAnsi="Times New Roman" w:cs="Times New Roman"/>
                <w:b/>
              </w:rPr>
            </w:pPr>
            <w:r w:rsidRPr="004D5B52">
              <w:rPr>
                <w:rFonts w:ascii="Times New Roman" w:eastAsia="Times New Roman" w:hAnsi="Times New Roman" w:cs="Times New Roman"/>
                <w:b/>
              </w:rPr>
              <w:t>Preparing and holding a lesson</w:t>
            </w:r>
          </w:p>
          <w:p w14:paraId="4C8973B5" w14:textId="7A62B2FB" w:rsidR="00F23F9D" w:rsidRDefault="004D5B52" w:rsidP="004D5B52">
            <w:r w:rsidRPr="004D5B52">
              <w:rPr>
                <w:rFonts w:ascii="Times New Roman" w:eastAsia="Times New Roman" w:hAnsi="Times New Roman" w:cs="Times New Roman"/>
                <w:b/>
              </w:rPr>
              <w:t>​</w:t>
            </w:r>
          </w:p>
        </w:tc>
      </w:tr>
    </w:tbl>
    <w:p w14:paraId="4765ADE6" w14:textId="77777777" w:rsidR="00F23F9D" w:rsidRDefault="00F23F9D" w:rsidP="009475E8">
      <w:pPr>
        <w:spacing w:after="0"/>
        <w:ind w:left="36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sectPr w:rsidR="00F23F9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E3C"/>
    <w:multiLevelType w:val="hybridMultilevel"/>
    <w:tmpl w:val="4B1A7642"/>
    <w:lvl w:ilvl="0" w:tplc="5DF05D2A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BCD92E">
      <w:start w:val="1"/>
      <w:numFmt w:val="bullet"/>
      <w:lvlText w:val="o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B80FA2">
      <w:start w:val="1"/>
      <w:numFmt w:val="bullet"/>
      <w:lvlText w:val="▪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52CA86">
      <w:start w:val="1"/>
      <w:numFmt w:val="bullet"/>
      <w:lvlText w:val="•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109F4A">
      <w:start w:val="1"/>
      <w:numFmt w:val="bullet"/>
      <w:lvlText w:val="o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74A40A">
      <w:start w:val="1"/>
      <w:numFmt w:val="bullet"/>
      <w:lvlText w:val="▪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4689F0">
      <w:start w:val="1"/>
      <w:numFmt w:val="bullet"/>
      <w:lvlText w:val="•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58CA01C">
      <w:start w:val="1"/>
      <w:numFmt w:val="bullet"/>
      <w:lvlText w:val="o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9CE319A">
      <w:start w:val="1"/>
      <w:numFmt w:val="bullet"/>
      <w:lvlText w:val="▪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F96823"/>
    <w:multiLevelType w:val="hybridMultilevel"/>
    <w:tmpl w:val="A20C37D4"/>
    <w:lvl w:ilvl="0" w:tplc="104A44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1" w:tplc="E56603B6">
      <w:start w:val="1"/>
      <w:numFmt w:val="bullet"/>
      <w:lvlText w:val="o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2" w:tplc="CC348196">
      <w:start w:val="1"/>
      <w:numFmt w:val="bullet"/>
      <w:lvlText w:val="▪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3" w:tplc="D5B419CC">
      <w:start w:val="1"/>
      <w:numFmt w:val="bullet"/>
      <w:lvlText w:val="•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4" w:tplc="2708E738">
      <w:start w:val="1"/>
      <w:numFmt w:val="bullet"/>
      <w:lvlText w:val="o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5" w:tplc="10642B8E">
      <w:start w:val="1"/>
      <w:numFmt w:val="bullet"/>
      <w:lvlText w:val="▪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6" w:tplc="4B94FC84">
      <w:start w:val="1"/>
      <w:numFmt w:val="bullet"/>
      <w:lvlText w:val="•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7" w:tplc="DA64B1DC">
      <w:start w:val="1"/>
      <w:numFmt w:val="bullet"/>
      <w:lvlText w:val="o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8" w:tplc="CE644D54">
      <w:start w:val="1"/>
      <w:numFmt w:val="bullet"/>
      <w:lvlText w:val="▪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34"/>
    <w:rsid w:val="002C03DB"/>
    <w:rsid w:val="004D5B52"/>
    <w:rsid w:val="00C768D4"/>
    <w:rsid w:val="00D06634"/>
    <w:rsid w:val="00F2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1849"/>
  <w15:docId w15:val="{104CBE06-D543-42E6-9294-E317830A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radanovic</dc:creator>
  <cp:keywords/>
  <cp:lastModifiedBy>Terra</cp:lastModifiedBy>
  <cp:revision>4</cp:revision>
  <dcterms:created xsi:type="dcterms:W3CDTF">2024-02-14T20:59:00Z</dcterms:created>
  <dcterms:modified xsi:type="dcterms:W3CDTF">2024-02-18T23:49:00Z</dcterms:modified>
</cp:coreProperties>
</file>