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648" w:type="dxa"/>
        <w:tblInd w:w="252" w:type="dxa"/>
        <w:tblLook w:val="04A0" w:firstRow="1" w:lastRow="0" w:firstColumn="1" w:lastColumn="0" w:noHBand="0" w:noVBand="1"/>
      </w:tblPr>
      <w:tblGrid>
        <w:gridCol w:w="1188"/>
        <w:gridCol w:w="102"/>
        <w:gridCol w:w="102"/>
        <w:gridCol w:w="432"/>
        <w:gridCol w:w="650"/>
        <w:gridCol w:w="7174"/>
      </w:tblGrid>
      <w:tr w:rsidR="007C0FCE" w14:paraId="58DF536E" w14:textId="77777777">
        <w:trPr>
          <w:trHeight w:val="98"/>
        </w:trPr>
        <w:tc>
          <w:tcPr>
            <w:tcW w:w="1159" w:type="dxa"/>
            <w:vMerge w:val="restart"/>
            <w:tcBorders>
              <w:top w:val="single" w:sz="4" w:space="0" w:color="000000"/>
              <w:left w:val="single" w:sz="4" w:space="0" w:color="000000"/>
              <w:bottom w:val="single" w:sz="4" w:space="0" w:color="000000"/>
              <w:right w:val="nil"/>
            </w:tcBorders>
          </w:tcPr>
          <w:p w14:paraId="62C3E7E7" w14:textId="5C68B780" w:rsidR="007C0FCE" w:rsidRDefault="00C73D1B">
            <w:pPr>
              <w:ind w:right="33"/>
              <w:jc w:val="right"/>
            </w:pPr>
            <w:r>
              <w:rPr>
                <w:noProof/>
              </w:rPr>
              <w:drawing>
                <wp:inline distT="0" distB="0" distL="0" distR="0" wp14:anchorId="3854915A" wp14:editId="1F58FA18">
                  <wp:extent cx="728963" cy="729117"/>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5"/>
                          <a:stretch>
                            <a:fillRect/>
                          </a:stretch>
                        </pic:blipFill>
                        <pic:spPr>
                          <a:xfrm>
                            <a:off x="0" y="0"/>
                            <a:ext cx="728963" cy="729117"/>
                          </a:xfrm>
                          <a:prstGeom prst="rect">
                            <a:avLst/>
                          </a:prstGeom>
                        </pic:spPr>
                      </pic:pic>
                    </a:graphicData>
                  </a:graphic>
                </wp:inline>
              </w:drawing>
            </w:r>
            <w:r w:rsidR="00BB30B7">
              <w:rPr>
                <w:rFonts w:ascii="Times New Roman" w:eastAsia="Times New Roman" w:hAnsi="Times New Roman" w:cs="Times New Roman"/>
                <w:color w:val="0000FF"/>
                <w:sz w:val="10"/>
              </w:rPr>
              <w:t xml:space="preserve">          </w:t>
            </w:r>
          </w:p>
        </w:tc>
        <w:tc>
          <w:tcPr>
            <w:tcW w:w="102" w:type="dxa"/>
            <w:tcBorders>
              <w:top w:val="single" w:sz="4" w:space="0" w:color="000000"/>
              <w:left w:val="single" w:sz="2" w:space="0" w:color="0000FF"/>
              <w:bottom w:val="single" w:sz="2" w:space="0" w:color="0000FF"/>
              <w:right w:val="double" w:sz="2" w:space="0" w:color="0000FF"/>
            </w:tcBorders>
          </w:tcPr>
          <w:p w14:paraId="10A47EDC" w14:textId="77777777" w:rsidR="007C0FCE" w:rsidRDefault="007C0FCE"/>
        </w:tc>
        <w:tc>
          <w:tcPr>
            <w:tcW w:w="102" w:type="dxa"/>
            <w:tcBorders>
              <w:top w:val="single" w:sz="4" w:space="0" w:color="000000"/>
              <w:left w:val="double" w:sz="2" w:space="0" w:color="0000FF"/>
              <w:bottom w:val="single" w:sz="2" w:space="0" w:color="0000FF"/>
              <w:right w:val="single" w:sz="2" w:space="0" w:color="0000FF"/>
            </w:tcBorders>
          </w:tcPr>
          <w:p w14:paraId="11A36DA8" w14:textId="77777777" w:rsidR="007C0FCE" w:rsidRDefault="007C0FCE"/>
        </w:tc>
        <w:tc>
          <w:tcPr>
            <w:tcW w:w="434" w:type="dxa"/>
            <w:vMerge w:val="restart"/>
            <w:tcBorders>
              <w:top w:val="single" w:sz="4" w:space="0" w:color="000000"/>
              <w:left w:val="nil"/>
              <w:bottom w:val="single" w:sz="4" w:space="0" w:color="000000"/>
              <w:right w:val="single" w:sz="2" w:space="0" w:color="FFFFFF"/>
            </w:tcBorders>
          </w:tcPr>
          <w:p w14:paraId="45B26E31" w14:textId="77777777" w:rsidR="007C0FCE" w:rsidRDefault="00BB30B7">
            <w:pPr>
              <w:ind w:left="123"/>
              <w:jc w:val="center"/>
            </w:pPr>
            <w:r>
              <w:rPr>
                <w:rFonts w:ascii="Times New Roman" w:eastAsia="Times New Roman" w:hAnsi="Times New Roman" w:cs="Times New Roman"/>
                <w:sz w:val="10"/>
              </w:rPr>
              <w:t xml:space="preserve"> </w:t>
            </w:r>
          </w:p>
        </w:tc>
        <w:tc>
          <w:tcPr>
            <w:tcW w:w="7852" w:type="dxa"/>
            <w:gridSpan w:val="2"/>
            <w:vMerge w:val="restart"/>
            <w:tcBorders>
              <w:top w:val="single" w:sz="4" w:space="0" w:color="000000"/>
              <w:left w:val="single" w:sz="2" w:space="0" w:color="FFFFFF"/>
              <w:bottom w:val="single" w:sz="4" w:space="0" w:color="000000"/>
              <w:right w:val="single" w:sz="4" w:space="0" w:color="000000"/>
            </w:tcBorders>
            <w:vAlign w:val="bottom"/>
          </w:tcPr>
          <w:p w14:paraId="13E97B36" w14:textId="77777777" w:rsidR="00C73D1B" w:rsidRPr="00A06C44" w:rsidRDefault="00C73D1B" w:rsidP="00C73D1B">
            <w:pPr>
              <w:ind w:left="1110"/>
              <w:rPr>
                <w:rFonts w:ascii="Times New Roman" w:eastAsia="Times New Roman" w:hAnsi="Times New Roman" w:cs="Times New Roman"/>
                <w:b/>
                <w:sz w:val="24"/>
                <w:szCs w:val="24"/>
              </w:rPr>
            </w:pPr>
            <w:r w:rsidRPr="00A06C44">
              <w:rPr>
                <w:rFonts w:ascii="Times New Roman" w:eastAsia="Times New Roman" w:hAnsi="Times New Roman" w:cs="Times New Roman"/>
                <w:b/>
                <w:sz w:val="24"/>
                <w:szCs w:val="24"/>
              </w:rPr>
              <w:t>UNIVERSITY OF BANJA LUKA</w:t>
            </w:r>
          </w:p>
          <w:p w14:paraId="7F288268" w14:textId="77777777" w:rsidR="00C73D1B" w:rsidRPr="00A06C44" w:rsidRDefault="00C73D1B" w:rsidP="00C73D1B">
            <w:pPr>
              <w:ind w:left="1110"/>
              <w:rPr>
                <w:rFonts w:ascii="Times New Roman" w:eastAsia="Times New Roman" w:hAnsi="Times New Roman" w:cs="Times New Roman"/>
                <w:b/>
                <w:sz w:val="24"/>
                <w:szCs w:val="24"/>
              </w:rPr>
            </w:pPr>
            <w:r w:rsidRPr="00A06C44">
              <w:rPr>
                <w:rFonts w:ascii="Times New Roman" w:eastAsia="Times New Roman" w:hAnsi="Times New Roman" w:cs="Times New Roman"/>
                <w:b/>
                <w:sz w:val="24"/>
                <w:szCs w:val="24"/>
              </w:rPr>
              <w:t xml:space="preserve"> </w:t>
            </w:r>
          </w:p>
          <w:p w14:paraId="5C2C9473" w14:textId="77777777" w:rsidR="00C73D1B" w:rsidRDefault="00C73D1B" w:rsidP="00C73D1B">
            <w:pPr>
              <w:ind w:left="1"/>
              <w:rPr>
                <w:rFonts w:ascii="Times New Roman" w:eastAsia="Times New Roman" w:hAnsi="Times New Roman" w:cs="Times New Roman"/>
                <w:b/>
                <w:sz w:val="24"/>
                <w:szCs w:val="24"/>
              </w:rPr>
            </w:pPr>
            <w:r w:rsidRPr="00A06C44">
              <w:rPr>
                <w:rFonts w:ascii="Times New Roman" w:eastAsia="Times New Roman" w:hAnsi="Times New Roman" w:cs="Times New Roman"/>
                <w:b/>
                <w:sz w:val="24"/>
                <w:szCs w:val="24"/>
              </w:rPr>
              <w:t xml:space="preserve">                      FACULTY OF PHILOLOGY</w:t>
            </w:r>
          </w:p>
          <w:p w14:paraId="0E4DC731" w14:textId="5ADC9AD4" w:rsidR="007C0FCE" w:rsidRDefault="00BB30B7" w:rsidP="00C73D1B">
            <w:pPr>
              <w:ind w:left="1"/>
            </w:pPr>
            <w:r>
              <w:rPr>
                <w:rFonts w:ascii="Times New Roman" w:eastAsia="Times New Roman" w:hAnsi="Times New Roman" w:cs="Times New Roman"/>
                <w:sz w:val="26"/>
              </w:rPr>
              <w:t xml:space="preserve"> </w:t>
            </w:r>
          </w:p>
        </w:tc>
      </w:tr>
      <w:tr w:rsidR="007C0FCE" w14:paraId="718AAACF" w14:textId="77777777">
        <w:trPr>
          <w:trHeight w:val="1051"/>
        </w:trPr>
        <w:tc>
          <w:tcPr>
            <w:tcW w:w="0" w:type="auto"/>
            <w:vMerge/>
            <w:tcBorders>
              <w:top w:val="nil"/>
              <w:left w:val="single" w:sz="4" w:space="0" w:color="000000"/>
              <w:bottom w:val="single" w:sz="4" w:space="0" w:color="000000"/>
              <w:right w:val="nil"/>
            </w:tcBorders>
          </w:tcPr>
          <w:p w14:paraId="0A907862" w14:textId="77777777" w:rsidR="007C0FCE" w:rsidRDefault="007C0FCE"/>
        </w:tc>
        <w:tc>
          <w:tcPr>
            <w:tcW w:w="102" w:type="dxa"/>
            <w:tcBorders>
              <w:top w:val="single" w:sz="2" w:space="0" w:color="0000FF"/>
              <w:left w:val="nil"/>
              <w:bottom w:val="single" w:sz="4" w:space="0" w:color="000000"/>
              <w:right w:val="nil"/>
            </w:tcBorders>
          </w:tcPr>
          <w:p w14:paraId="6366FDC6" w14:textId="2734553B" w:rsidR="007C0FCE" w:rsidRDefault="007C0FCE">
            <w:pPr>
              <w:ind w:left="-508" w:right="-538"/>
            </w:pPr>
          </w:p>
        </w:tc>
        <w:tc>
          <w:tcPr>
            <w:tcW w:w="102" w:type="dxa"/>
            <w:tcBorders>
              <w:top w:val="single" w:sz="2" w:space="0" w:color="0000FF"/>
              <w:left w:val="nil"/>
              <w:bottom w:val="single" w:sz="4" w:space="0" w:color="000000"/>
              <w:right w:val="nil"/>
            </w:tcBorders>
          </w:tcPr>
          <w:p w14:paraId="01227B49" w14:textId="77777777" w:rsidR="007C0FCE" w:rsidRDefault="007C0FCE"/>
        </w:tc>
        <w:tc>
          <w:tcPr>
            <w:tcW w:w="0" w:type="auto"/>
            <w:vMerge/>
            <w:tcBorders>
              <w:top w:val="nil"/>
              <w:left w:val="nil"/>
              <w:bottom w:val="single" w:sz="4" w:space="0" w:color="000000"/>
              <w:right w:val="single" w:sz="2" w:space="0" w:color="FFFFFF"/>
            </w:tcBorders>
          </w:tcPr>
          <w:p w14:paraId="22E057A5" w14:textId="77777777" w:rsidR="007C0FCE" w:rsidRDefault="007C0FCE"/>
        </w:tc>
        <w:tc>
          <w:tcPr>
            <w:tcW w:w="0" w:type="auto"/>
            <w:gridSpan w:val="2"/>
            <w:vMerge/>
            <w:tcBorders>
              <w:top w:val="nil"/>
              <w:left w:val="single" w:sz="2" w:space="0" w:color="FFFFFF"/>
              <w:bottom w:val="single" w:sz="4" w:space="0" w:color="000000"/>
              <w:right w:val="single" w:sz="4" w:space="0" w:color="000000"/>
            </w:tcBorders>
          </w:tcPr>
          <w:p w14:paraId="138F0A4B" w14:textId="77777777" w:rsidR="007C0FCE" w:rsidRDefault="007C0FCE"/>
        </w:tc>
      </w:tr>
      <w:tr w:rsidR="007C0FCE" w14:paraId="4F55CA6A" w14:textId="77777777">
        <w:trPr>
          <w:trHeight w:val="289"/>
        </w:trPr>
        <w:tc>
          <w:tcPr>
            <w:tcW w:w="1261" w:type="dxa"/>
            <w:gridSpan w:val="2"/>
            <w:tcBorders>
              <w:top w:val="single" w:sz="4" w:space="0" w:color="000000"/>
              <w:left w:val="single" w:sz="4" w:space="0" w:color="000000"/>
              <w:bottom w:val="single" w:sz="4" w:space="0" w:color="000000"/>
              <w:right w:val="nil"/>
            </w:tcBorders>
          </w:tcPr>
          <w:p w14:paraId="6FC7BB4C" w14:textId="77777777" w:rsidR="007C0FCE" w:rsidRDefault="007C0FCE"/>
        </w:tc>
        <w:tc>
          <w:tcPr>
            <w:tcW w:w="8388" w:type="dxa"/>
            <w:gridSpan w:val="4"/>
            <w:tcBorders>
              <w:top w:val="single" w:sz="4" w:space="0" w:color="000000"/>
              <w:left w:val="nil"/>
              <w:bottom w:val="single" w:sz="4" w:space="0" w:color="000000"/>
              <w:right w:val="single" w:sz="4" w:space="0" w:color="000000"/>
            </w:tcBorders>
          </w:tcPr>
          <w:p w14:paraId="5C695103" w14:textId="1E071034" w:rsidR="007C0FCE" w:rsidRDefault="00C73D1B">
            <w:pPr>
              <w:ind w:left="1941"/>
            </w:pPr>
            <w:r w:rsidRPr="00A06C44">
              <w:rPr>
                <w:rFonts w:ascii="Times New Roman" w:eastAsia="Times New Roman" w:hAnsi="Times New Roman" w:cs="Times New Roman"/>
                <w:b/>
                <w:sz w:val="24"/>
                <w:szCs w:val="24"/>
              </w:rPr>
              <w:t>Graduate academic studies</w:t>
            </w:r>
          </w:p>
        </w:tc>
      </w:tr>
      <w:tr w:rsidR="007C0FCE" w14:paraId="1A18F12F" w14:textId="77777777">
        <w:trPr>
          <w:trHeight w:val="284"/>
        </w:trPr>
        <w:tc>
          <w:tcPr>
            <w:tcW w:w="1261" w:type="dxa"/>
            <w:gridSpan w:val="2"/>
            <w:tcBorders>
              <w:top w:val="single" w:sz="4" w:space="0" w:color="000000"/>
              <w:left w:val="single" w:sz="4" w:space="0" w:color="000000"/>
              <w:bottom w:val="single" w:sz="4" w:space="0" w:color="000000"/>
              <w:right w:val="nil"/>
            </w:tcBorders>
          </w:tcPr>
          <w:p w14:paraId="294314AF" w14:textId="04586F85" w:rsidR="007C0FCE" w:rsidRDefault="00C73D1B">
            <w:pPr>
              <w:ind w:left="108"/>
              <w:jc w:val="both"/>
            </w:pPr>
            <w:r>
              <w:rPr>
                <w:rFonts w:ascii="Times New Roman" w:eastAsia="Times New Roman" w:hAnsi="Times New Roman" w:cs="Times New Roman"/>
                <w:b/>
                <w:sz w:val="24"/>
              </w:rPr>
              <w:t>Study program</w:t>
            </w:r>
          </w:p>
        </w:tc>
        <w:tc>
          <w:tcPr>
            <w:tcW w:w="1189" w:type="dxa"/>
            <w:gridSpan w:val="3"/>
            <w:tcBorders>
              <w:top w:val="single" w:sz="4" w:space="0" w:color="000000"/>
              <w:left w:val="nil"/>
              <w:bottom w:val="single" w:sz="4" w:space="0" w:color="000000"/>
              <w:right w:val="single" w:sz="4" w:space="0" w:color="000000"/>
            </w:tcBorders>
          </w:tcPr>
          <w:p w14:paraId="0D7D3EB1" w14:textId="2F1ABE49" w:rsidR="007C0FCE" w:rsidRDefault="00BB30B7">
            <w:pPr>
              <w:ind w:left="-18"/>
              <w:jc w:val="both"/>
            </w:pPr>
            <w:r>
              <w:rPr>
                <w:rFonts w:ascii="Times New Roman" w:eastAsia="Times New Roman" w:hAnsi="Times New Roman" w:cs="Times New Roman"/>
                <w:b/>
                <w:sz w:val="24"/>
              </w:rPr>
              <w:t xml:space="preserve"> </w:t>
            </w:r>
          </w:p>
        </w:tc>
        <w:tc>
          <w:tcPr>
            <w:tcW w:w="7199" w:type="dxa"/>
            <w:tcBorders>
              <w:top w:val="single" w:sz="4" w:space="0" w:color="000000"/>
              <w:left w:val="single" w:sz="4" w:space="0" w:color="000000"/>
              <w:bottom w:val="single" w:sz="4" w:space="0" w:color="000000"/>
              <w:right w:val="single" w:sz="4" w:space="0" w:color="000000"/>
            </w:tcBorders>
            <w:shd w:val="clear" w:color="auto" w:fill="B3B3B3"/>
          </w:tcPr>
          <w:p w14:paraId="18DAB9DC" w14:textId="5D99DC5D" w:rsidR="007C0FCE" w:rsidRDefault="00C73D1B">
            <w:pPr>
              <w:ind w:left="107"/>
            </w:pPr>
            <w:r w:rsidRPr="00A06C44">
              <w:rPr>
                <w:rFonts w:ascii="Times New Roman" w:eastAsia="Times New Roman" w:hAnsi="Times New Roman" w:cs="Times New Roman"/>
                <w:b/>
                <w:sz w:val="24"/>
                <w:szCs w:val="24"/>
              </w:rPr>
              <w:t>Methodology of language and literature teaching</w:t>
            </w:r>
          </w:p>
        </w:tc>
      </w:tr>
    </w:tbl>
    <w:p w14:paraId="49E95DC2" w14:textId="77777777" w:rsidR="007C0FCE" w:rsidRDefault="00BB30B7">
      <w:pPr>
        <w:spacing w:after="0"/>
        <w:ind w:left="360"/>
        <w:jc w:val="both"/>
      </w:pPr>
      <w:r>
        <w:rPr>
          <w:rFonts w:ascii="Times New Roman" w:eastAsia="Times New Roman" w:hAnsi="Times New Roman" w:cs="Times New Roman"/>
          <w:sz w:val="26"/>
        </w:rPr>
        <w:t xml:space="preserve"> </w:t>
      </w:r>
    </w:p>
    <w:tbl>
      <w:tblPr>
        <w:tblStyle w:val="TableGrid"/>
        <w:tblW w:w="9647" w:type="dxa"/>
        <w:tblInd w:w="254" w:type="dxa"/>
        <w:tblCellMar>
          <w:top w:w="7" w:type="dxa"/>
          <w:left w:w="107" w:type="dxa"/>
          <w:right w:w="92" w:type="dxa"/>
        </w:tblCellMar>
        <w:tblLook w:val="04A0" w:firstRow="1" w:lastRow="0" w:firstColumn="1" w:lastColumn="0" w:noHBand="0" w:noVBand="1"/>
      </w:tblPr>
      <w:tblGrid>
        <w:gridCol w:w="1848"/>
        <w:gridCol w:w="1850"/>
        <w:gridCol w:w="1630"/>
        <w:gridCol w:w="1620"/>
        <w:gridCol w:w="2699"/>
      </w:tblGrid>
      <w:tr w:rsidR="007C0FCE" w14:paraId="0FFD267B" w14:textId="77777777">
        <w:trPr>
          <w:trHeight w:val="262"/>
        </w:trPr>
        <w:tc>
          <w:tcPr>
            <w:tcW w:w="1848" w:type="dxa"/>
            <w:tcBorders>
              <w:top w:val="single" w:sz="4" w:space="0" w:color="000000"/>
              <w:left w:val="single" w:sz="4" w:space="0" w:color="000000"/>
              <w:bottom w:val="single" w:sz="4" w:space="0" w:color="000000"/>
              <w:right w:val="single" w:sz="4" w:space="0" w:color="000000"/>
            </w:tcBorders>
          </w:tcPr>
          <w:p w14:paraId="18BEB279" w14:textId="3FB11705" w:rsidR="007C0FCE" w:rsidRDefault="00C73D1B">
            <w:pPr>
              <w:jc w:val="both"/>
            </w:pPr>
            <w:r>
              <w:rPr>
                <w:rFonts w:ascii="Times New Roman" w:eastAsia="Times New Roman" w:hAnsi="Times New Roman" w:cs="Times New Roman"/>
                <w:b/>
              </w:rPr>
              <w:t>Subject</w:t>
            </w:r>
          </w:p>
        </w:tc>
        <w:tc>
          <w:tcPr>
            <w:tcW w:w="5100" w:type="dxa"/>
            <w:gridSpan w:val="3"/>
            <w:tcBorders>
              <w:top w:val="single" w:sz="4" w:space="0" w:color="000000"/>
              <w:left w:val="single" w:sz="4" w:space="0" w:color="000000"/>
              <w:bottom w:val="single" w:sz="4" w:space="0" w:color="000000"/>
              <w:right w:val="nil"/>
            </w:tcBorders>
            <w:shd w:val="clear" w:color="auto" w:fill="B3B3B3"/>
          </w:tcPr>
          <w:p w14:paraId="66D17B03" w14:textId="2C43D6B8" w:rsidR="007C0FCE" w:rsidRDefault="00C73D1B">
            <w:r w:rsidRPr="00C73D1B">
              <w:rPr>
                <w:rFonts w:ascii="Tahoma" w:eastAsia="Tahoma" w:hAnsi="Tahoma" w:cs="Tahoma"/>
                <w:b/>
                <w:sz w:val="18"/>
              </w:rPr>
              <w:t>Teaching foreign languages to adult students</w:t>
            </w:r>
          </w:p>
        </w:tc>
        <w:tc>
          <w:tcPr>
            <w:tcW w:w="2699" w:type="dxa"/>
            <w:tcBorders>
              <w:top w:val="single" w:sz="4" w:space="0" w:color="000000"/>
              <w:left w:val="nil"/>
              <w:bottom w:val="single" w:sz="4" w:space="0" w:color="000000"/>
              <w:right w:val="single" w:sz="4" w:space="0" w:color="000000"/>
            </w:tcBorders>
            <w:shd w:val="clear" w:color="auto" w:fill="B3B3B3"/>
          </w:tcPr>
          <w:p w14:paraId="0D68FEA1" w14:textId="77777777" w:rsidR="007C0FCE" w:rsidRDefault="007C0FCE"/>
        </w:tc>
      </w:tr>
      <w:tr w:rsidR="00C73D1B" w14:paraId="467055D3" w14:textId="77777777">
        <w:trPr>
          <w:trHeight w:val="517"/>
        </w:trPr>
        <w:tc>
          <w:tcPr>
            <w:tcW w:w="1848" w:type="dxa"/>
            <w:tcBorders>
              <w:top w:val="single" w:sz="4" w:space="0" w:color="000000"/>
              <w:left w:val="single" w:sz="4" w:space="0" w:color="000000"/>
              <w:bottom w:val="single" w:sz="4" w:space="0" w:color="000000"/>
              <w:right w:val="single" w:sz="4" w:space="0" w:color="000000"/>
            </w:tcBorders>
          </w:tcPr>
          <w:p w14:paraId="61F15E8C" w14:textId="366EAFCE" w:rsidR="00C73D1B" w:rsidRDefault="00C73D1B" w:rsidP="00C73D1B">
            <w:r w:rsidRPr="00A06C44">
              <w:rPr>
                <w:rFonts w:ascii="Times New Roman" w:eastAsia="Times New Roman" w:hAnsi="Times New Roman" w:cs="Times New Roman"/>
                <w:b/>
                <w:sz w:val="24"/>
                <w:szCs w:val="24"/>
              </w:rPr>
              <w:t>Subject code</w:t>
            </w:r>
          </w:p>
        </w:tc>
        <w:tc>
          <w:tcPr>
            <w:tcW w:w="1850" w:type="dxa"/>
            <w:tcBorders>
              <w:top w:val="single" w:sz="4" w:space="0" w:color="000000"/>
              <w:left w:val="single" w:sz="4" w:space="0" w:color="000000"/>
              <w:bottom w:val="single" w:sz="4" w:space="0" w:color="000000"/>
              <w:right w:val="single" w:sz="4" w:space="0" w:color="000000"/>
            </w:tcBorders>
          </w:tcPr>
          <w:p w14:paraId="03C5074A" w14:textId="7A0059B6" w:rsidR="00C73D1B" w:rsidRDefault="00C73D1B" w:rsidP="00C73D1B">
            <w:pPr>
              <w:ind w:left="5"/>
              <w:jc w:val="center"/>
            </w:pPr>
            <w:r w:rsidRPr="00A06C44">
              <w:rPr>
                <w:rFonts w:ascii="Times New Roman" w:eastAsia="Times New Roman" w:hAnsi="Times New Roman" w:cs="Times New Roman"/>
                <w:b/>
                <w:sz w:val="24"/>
                <w:szCs w:val="24"/>
              </w:rPr>
              <w:t xml:space="preserve">Subject status </w:t>
            </w:r>
          </w:p>
        </w:tc>
        <w:tc>
          <w:tcPr>
            <w:tcW w:w="1630" w:type="dxa"/>
            <w:tcBorders>
              <w:top w:val="single" w:sz="4" w:space="0" w:color="000000"/>
              <w:left w:val="single" w:sz="4" w:space="0" w:color="000000"/>
              <w:bottom w:val="single" w:sz="4" w:space="0" w:color="000000"/>
              <w:right w:val="single" w:sz="4" w:space="0" w:color="000000"/>
            </w:tcBorders>
            <w:vAlign w:val="center"/>
          </w:tcPr>
          <w:p w14:paraId="38B560F9" w14:textId="62AF91D9" w:rsidR="00C73D1B" w:rsidRDefault="00C73D1B" w:rsidP="00C73D1B">
            <w:pPr>
              <w:ind w:right="12"/>
              <w:jc w:val="center"/>
            </w:pPr>
            <w:r w:rsidRPr="00A06C44">
              <w:rPr>
                <w:rFonts w:ascii="Times New Roman" w:eastAsia="Times New Roman" w:hAnsi="Times New Roman" w:cs="Times New Roman"/>
                <w:b/>
                <w:sz w:val="24"/>
                <w:szCs w:val="24"/>
              </w:rPr>
              <w:t xml:space="preserve">Semester </w:t>
            </w:r>
          </w:p>
        </w:tc>
        <w:tc>
          <w:tcPr>
            <w:tcW w:w="1620" w:type="dxa"/>
            <w:tcBorders>
              <w:top w:val="single" w:sz="4" w:space="0" w:color="000000"/>
              <w:left w:val="single" w:sz="4" w:space="0" w:color="000000"/>
              <w:bottom w:val="single" w:sz="4" w:space="0" w:color="000000"/>
              <w:right w:val="single" w:sz="4" w:space="0" w:color="000000"/>
            </w:tcBorders>
            <w:vAlign w:val="center"/>
          </w:tcPr>
          <w:p w14:paraId="2156080D" w14:textId="043E6053" w:rsidR="00C73D1B" w:rsidRDefault="00C73D1B" w:rsidP="00C73D1B">
            <w:pPr>
              <w:ind w:left="71"/>
            </w:pPr>
            <w:r w:rsidRPr="00A06C44">
              <w:rPr>
                <w:rFonts w:ascii="Times New Roman" w:eastAsia="Times New Roman" w:hAnsi="Times New Roman" w:cs="Times New Roman"/>
                <w:b/>
                <w:sz w:val="24"/>
                <w:szCs w:val="24"/>
              </w:rPr>
              <w:t>Lesson fund</w:t>
            </w:r>
          </w:p>
        </w:tc>
        <w:tc>
          <w:tcPr>
            <w:tcW w:w="2699" w:type="dxa"/>
            <w:tcBorders>
              <w:top w:val="single" w:sz="4" w:space="0" w:color="000000"/>
              <w:left w:val="single" w:sz="4" w:space="0" w:color="000000"/>
              <w:bottom w:val="single" w:sz="4" w:space="0" w:color="000000"/>
              <w:right w:val="single" w:sz="4" w:space="0" w:color="000000"/>
            </w:tcBorders>
            <w:vAlign w:val="center"/>
          </w:tcPr>
          <w:p w14:paraId="7C7F9B28" w14:textId="32DBABEF" w:rsidR="00C73D1B" w:rsidRDefault="00C73D1B" w:rsidP="00C73D1B">
            <w:pPr>
              <w:ind w:right="11"/>
              <w:jc w:val="center"/>
            </w:pPr>
            <w:r w:rsidRPr="00A06C44">
              <w:rPr>
                <w:rFonts w:ascii="Times New Roman" w:eastAsia="Times New Roman" w:hAnsi="Times New Roman" w:cs="Times New Roman"/>
                <w:b/>
                <w:sz w:val="24"/>
                <w:szCs w:val="24"/>
              </w:rPr>
              <w:t>Number of ECTS credits</w:t>
            </w:r>
          </w:p>
        </w:tc>
      </w:tr>
      <w:tr w:rsidR="007C0FCE" w14:paraId="33C6B332" w14:textId="77777777">
        <w:trPr>
          <w:trHeight w:val="263"/>
        </w:trPr>
        <w:tc>
          <w:tcPr>
            <w:tcW w:w="1848" w:type="dxa"/>
            <w:tcBorders>
              <w:top w:val="single" w:sz="4" w:space="0" w:color="000000"/>
              <w:left w:val="single" w:sz="4" w:space="0" w:color="000000"/>
              <w:bottom w:val="single" w:sz="4" w:space="0" w:color="000000"/>
              <w:right w:val="single" w:sz="4" w:space="0" w:color="000000"/>
            </w:tcBorders>
          </w:tcPr>
          <w:p w14:paraId="5E996913" w14:textId="5D0BE88C" w:rsidR="007C0FCE" w:rsidRDefault="00C73D1B">
            <w:bookmarkStart w:id="0" w:name="_Hlk158904275"/>
            <w:r>
              <w:rPr>
                <w:rFonts w:ascii="Times New Roman" w:eastAsia="Times New Roman" w:hAnsi="Times New Roman" w:cs="Times New Roman"/>
              </w:rPr>
              <w:t>NSJO</w:t>
            </w:r>
            <w:r w:rsidR="00BB30B7">
              <w:rPr>
                <w:rFonts w:ascii="Times New Roman" w:eastAsia="Times New Roman" w:hAnsi="Times New Roman" w:cs="Times New Roman"/>
              </w:rPr>
              <w:t xml:space="preserve"> </w:t>
            </w:r>
          </w:p>
        </w:tc>
        <w:tc>
          <w:tcPr>
            <w:tcW w:w="1850" w:type="dxa"/>
            <w:tcBorders>
              <w:top w:val="single" w:sz="4" w:space="0" w:color="000000"/>
              <w:left w:val="single" w:sz="4" w:space="0" w:color="000000"/>
              <w:bottom w:val="single" w:sz="4" w:space="0" w:color="000000"/>
              <w:right w:val="single" w:sz="4" w:space="0" w:color="000000"/>
            </w:tcBorders>
          </w:tcPr>
          <w:p w14:paraId="3E60ED8C" w14:textId="63703797" w:rsidR="007C0FCE" w:rsidRDefault="007470AB">
            <w:pPr>
              <w:ind w:right="19"/>
              <w:jc w:val="center"/>
            </w:pPr>
            <w:r>
              <w:rPr>
                <w:rFonts w:ascii="Times New Roman" w:eastAsia="Times New Roman" w:hAnsi="Times New Roman" w:cs="Times New Roman"/>
              </w:rPr>
              <w:t>Elective</w:t>
            </w:r>
            <w:bookmarkStart w:id="1" w:name="_GoBack"/>
            <w:bookmarkEnd w:id="1"/>
            <w:r w:rsidR="00BB30B7">
              <w:rPr>
                <w:rFonts w:ascii="Times New Roman" w:eastAsia="Times New Roman" w:hAnsi="Times New Roman" w:cs="Times New Roman"/>
              </w:rPr>
              <w:t xml:space="preserve"> </w:t>
            </w:r>
          </w:p>
        </w:tc>
        <w:tc>
          <w:tcPr>
            <w:tcW w:w="1630" w:type="dxa"/>
            <w:tcBorders>
              <w:top w:val="single" w:sz="4" w:space="0" w:color="000000"/>
              <w:left w:val="single" w:sz="4" w:space="0" w:color="000000"/>
              <w:bottom w:val="single" w:sz="4" w:space="0" w:color="000000"/>
              <w:right w:val="single" w:sz="4" w:space="0" w:color="000000"/>
            </w:tcBorders>
          </w:tcPr>
          <w:p w14:paraId="2785E010" w14:textId="77777777" w:rsidR="007C0FCE" w:rsidRDefault="00BB30B7">
            <w:pPr>
              <w:ind w:right="16"/>
              <w:jc w:val="center"/>
            </w:pPr>
            <w:r>
              <w:rPr>
                <w:rFonts w:ascii="Times New Roman" w:eastAsia="Times New Roman" w:hAnsi="Times New Roman" w:cs="Times New Roman"/>
              </w:rPr>
              <w:t xml:space="preserve">I </w:t>
            </w:r>
          </w:p>
        </w:tc>
        <w:tc>
          <w:tcPr>
            <w:tcW w:w="1620" w:type="dxa"/>
            <w:tcBorders>
              <w:top w:val="single" w:sz="4" w:space="0" w:color="000000"/>
              <w:left w:val="single" w:sz="4" w:space="0" w:color="000000"/>
              <w:bottom w:val="single" w:sz="4" w:space="0" w:color="000000"/>
              <w:right w:val="single" w:sz="4" w:space="0" w:color="000000"/>
            </w:tcBorders>
          </w:tcPr>
          <w:p w14:paraId="55F1953C" w14:textId="77777777" w:rsidR="007C0FCE" w:rsidRDefault="00BB30B7">
            <w:pPr>
              <w:ind w:right="12"/>
              <w:jc w:val="center"/>
            </w:pPr>
            <w:r>
              <w:rPr>
                <w:rFonts w:ascii="Times New Roman" w:eastAsia="Times New Roman" w:hAnsi="Times New Roman" w:cs="Times New Roman"/>
              </w:rPr>
              <w:t xml:space="preserve">2+2 </w:t>
            </w:r>
          </w:p>
        </w:tc>
        <w:tc>
          <w:tcPr>
            <w:tcW w:w="2699" w:type="dxa"/>
            <w:tcBorders>
              <w:top w:val="single" w:sz="4" w:space="0" w:color="000000"/>
              <w:left w:val="single" w:sz="4" w:space="0" w:color="000000"/>
              <w:bottom w:val="single" w:sz="4" w:space="0" w:color="000000"/>
              <w:right w:val="single" w:sz="4" w:space="0" w:color="000000"/>
            </w:tcBorders>
          </w:tcPr>
          <w:p w14:paraId="2FF70D51" w14:textId="77777777" w:rsidR="007C0FCE" w:rsidRDefault="00BB30B7">
            <w:pPr>
              <w:ind w:right="15"/>
              <w:jc w:val="center"/>
            </w:pPr>
            <w:r>
              <w:rPr>
                <w:rFonts w:ascii="Times New Roman" w:eastAsia="Times New Roman" w:hAnsi="Times New Roman" w:cs="Times New Roman"/>
              </w:rPr>
              <w:t xml:space="preserve">5 </w:t>
            </w:r>
          </w:p>
        </w:tc>
      </w:tr>
      <w:bookmarkEnd w:id="0"/>
      <w:tr w:rsidR="00C73D1B" w14:paraId="13A1FA16" w14:textId="77777777">
        <w:trPr>
          <w:trHeight w:val="262"/>
        </w:trPr>
        <w:tc>
          <w:tcPr>
            <w:tcW w:w="1848" w:type="dxa"/>
            <w:tcBorders>
              <w:top w:val="single" w:sz="4" w:space="0" w:color="000000"/>
              <w:left w:val="single" w:sz="4" w:space="0" w:color="000000"/>
              <w:bottom w:val="single" w:sz="4" w:space="0" w:color="000000"/>
              <w:right w:val="single" w:sz="4" w:space="0" w:color="000000"/>
            </w:tcBorders>
            <w:shd w:val="clear" w:color="auto" w:fill="B3B3B3"/>
          </w:tcPr>
          <w:p w14:paraId="68D545AD" w14:textId="0C26CB59" w:rsidR="00C73D1B" w:rsidRDefault="00C73D1B" w:rsidP="00C73D1B">
            <w:r w:rsidRPr="00A06C44">
              <w:rPr>
                <w:rFonts w:ascii="Times New Roman" w:eastAsia="Times New Roman" w:hAnsi="Times New Roman" w:cs="Times New Roman"/>
                <w:b/>
                <w:sz w:val="24"/>
                <w:szCs w:val="24"/>
              </w:rPr>
              <w:t>Professors</w:t>
            </w:r>
          </w:p>
        </w:tc>
        <w:tc>
          <w:tcPr>
            <w:tcW w:w="5100" w:type="dxa"/>
            <w:gridSpan w:val="3"/>
            <w:tcBorders>
              <w:top w:val="single" w:sz="4" w:space="0" w:color="000000"/>
              <w:left w:val="single" w:sz="4" w:space="0" w:color="000000"/>
              <w:bottom w:val="single" w:sz="4" w:space="0" w:color="000000"/>
              <w:right w:val="nil"/>
            </w:tcBorders>
          </w:tcPr>
          <w:p w14:paraId="58DEE6BF" w14:textId="74AD3A79" w:rsidR="00C73D1B" w:rsidRDefault="00C73D1B" w:rsidP="00C73D1B">
            <w:r w:rsidRPr="00A06C44">
              <w:rPr>
                <w:rFonts w:ascii="Times New Roman" w:eastAsia="Times New Roman" w:hAnsi="Times New Roman" w:cs="Times New Roman"/>
                <w:sz w:val="24"/>
                <w:szCs w:val="24"/>
              </w:rPr>
              <w:t xml:space="preserve">Prof. Dr. </w:t>
            </w:r>
            <w:proofErr w:type="spellStart"/>
            <w:r w:rsidRPr="00A06C44">
              <w:rPr>
                <w:rFonts w:ascii="Times New Roman" w:eastAsia="Times New Roman" w:hAnsi="Times New Roman" w:cs="Times New Roman"/>
                <w:sz w:val="24"/>
                <w:szCs w:val="24"/>
              </w:rPr>
              <w:t>Sanja</w:t>
            </w:r>
            <w:proofErr w:type="spellEnd"/>
            <w:r w:rsidRPr="00A06C44">
              <w:rPr>
                <w:rFonts w:ascii="Times New Roman" w:eastAsia="Times New Roman" w:hAnsi="Times New Roman" w:cs="Times New Roman"/>
                <w:sz w:val="24"/>
                <w:szCs w:val="24"/>
              </w:rPr>
              <w:t xml:space="preserve"> </w:t>
            </w:r>
            <w:proofErr w:type="spellStart"/>
            <w:r w:rsidRPr="00A06C44">
              <w:rPr>
                <w:rFonts w:ascii="Times New Roman" w:eastAsia="Times New Roman" w:hAnsi="Times New Roman" w:cs="Times New Roman"/>
                <w:sz w:val="24"/>
                <w:szCs w:val="24"/>
              </w:rPr>
              <w:t>Josifović-Elezović</w:t>
            </w:r>
            <w:proofErr w:type="spellEnd"/>
          </w:p>
        </w:tc>
        <w:tc>
          <w:tcPr>
            <w:tcW w:w="2699" w:type="dxa"/>
            <w:tcBorders>
              <w:top w:val="single" w:sz="4" w:space="0" w:color="000000"/>
              <w:left w:val="nil"/>
              <w:bottom w:val="single" w:sz="4" w:space="0" w:color="000000"/>
              <w:right w:val="single" w:sz="4" w:space="0" w:color="000000"/>
            </w:tcBorders>
          </w:tcPr>
          <w:p w14:paraId="7A47129D" w14:textId="77777777" w:rsidR="00C73D1B" w:rsidRDefault="00C73D1B" w:rsidP="00C73D1B"/>
        </w:tc>
      </w:tr>
    </w:tbl>
    <w:p w14:paraId="4803EAF2" w14:textId="77777777" w:rsidR="007C0FCE" w:rsidRDefault="00BB30B7">
      <w:pPr>
        <w:spacing w:after="0"/>
        <w:ind w:left="360"/>
        <w:jc w:val="both"/>
      </w:pPr>
      <w:r>
        <w:rPr>
          <w:rFonts w:ascii="Times New Roman" w:eastAsia="Times New Roman" w:hAnsi="Times New Roman" w:cs="Times New Roman"/>
        </w:rPr>
        <w:t xml:space="preserve"> </w:t>
      </w:r>
    </w:p>
    <w:tbl>
      <w:tblPr>
        <w:tblStyle w:val="TableGrid"/>
        <w:tblW w:w="9647" w:type="dxa"/>
        <w:tblInd w:w="254" w:type="dxa"/>
        <w:tblCellMar>
          <w:top w:w="7" w:type="dxa"/>
          <w:left w:w="106" w:type="dxa"/>
          <w:right w:w="224" w:type="dxa"/>
        </w:tblCellMar>
        <w:tblLook w:val="04A0" w:firstRow="1" w:lastRow="0" w:firstColumn="1" w:lastColumn="0" w:noHBand="0" w:noVBand="1"/>
      </w:tblPr>
      <w:tblGrid>
        <w:gridCol w:w="2233"/>
        <w:gridCol w:w="709"/>
        <w:gridCol w:w="2837"/>
        <w:gridCol w:w="708"/>
        <w:gridCol w:w="2261"/>
        <w:gridCol w:w="899"/>
      </w:tblGrid>
      <w:tr w:rsidR="00C73D1B" w14:paraId="48863EEB" w14:textId="77777777">
        <w:trPr>
          <w:trHeight w:val="261"/>
        </w:trPr>
        <w:tc>
          <w:tcPr>
            <w:tcW w:w="9647" w:type="dxa"/>
            <w:gridSpan w:val="6"/>
            <w:tcBorders>
              <w:top w:val="single" w:sz="4" w:space="0" w:color="000000"/>
              <w:left w:val="single" w:sz="4" w:space="0" w:color="000000"/>
              <w:bottom w:val="single" w:sz="4" w:space="0" w:color="000000"/>
              <w:right w:val="single" w:sz="4" w:space="0" w:color="000000"/>
            </w:tcBorders>
            <w:shd w:val="clear" w:color="auto" w:fill="B3B3B3"/>
          </w:tcPr>
          <w:p w14:paraId="59590E4B" w14:textId="14AFC277" w:rsidR="00C73D1B" w:rsidRDefault="00C73D1B" w:rsidP="00C73D1B">
            <w:r w:rsidRPr="00A06C44">
              <w:rPr>
                <w:rFonts w:ascii="Times New Roman" w:eastAsia="Times New Roman" w:hAnsi="Times New Roman" w:cs="Times New Roman"/>
                <w:b/>
                <w:sz w:val="24"/>
                <w:szCs w:val="24"/>
              </w:rPr>
              <w:t>Conditioned by other subjects</w:t>
            </w:r>
          </w:p>
        </w:tc>
      </w:tr>
      <w:tr w:rsidR="00C73D1B" w14:paraId="6D57A31F" w14:textId="77777777">
        <w:trPr>
          <w:trHeight w:val="266"/>
        </w:trPr>
        <w:tc>
          <w:tcPr>
            <w:tcW w:w="9647" w:type="dxa"/>
            <w:gridSpan w:val="6"/>
            <w:tcBorders>
              <w:top w:val="single" w:sz="4" w:space="0" w:color="000000"/>
              <w:left w:val="single" w:sz="4" w:space="0" w:color="000000"/>
              <w:bottom w:val="single" w:sz="4" w:space="0" w:color="000000"/>
              <w:right w:val="single" w:sz="4" w:space="0" w:color="000000"/>
            </w:tcBorders>
          </w:tcPr>
          <w:p w14:paraId="612897E2" w14:textId="3BAE6B2B" w:rsidR="00C73D1B" w:rsidRDefault="00C73D1B" w:rsidP="00C73D1B">
            <w:r w:rsidRPr="00A06C44">
              <w:rPr>
                <w:rFonts w:ascii="Times New Roman" w:eastAsia="Times New Roman" w:hAnsi="Times New Roman" w:cs="Times New Roman"/>
                <w:sz w:val="24"/>
                <w:szCs w:val="24"/>
              </w:rPr>
              <w:t xml:space="preserve"> </w:t>
            </w:r>
          </w:p>
        </w:tc>
      </w:tr>
      <w:tr w:rsidR="00C73D1B" w14:paraId="394B31A1" w14:textId="77777777">
        <w:trPr>
          <w:trHeight w:val="259"/>
        </w:trPr>
        <w:tc>
          <w:tcPr>
            <w:tcW w:w="9647" w:type="dxa"/>
            <w:gridSpan w:val="6"/>
            <w:tcBorders>
              <w:top w:val="single" w:sz="4" w:space="0" w:color="000000"/>
              <w:left w:val="single" w:sz="4" w:space="0" w:color="000000"/>
              <w:bottom w:val="single" w:sz="4" w:space="0" w:color="000000"/>
              <w:right w:val="single" w:sz="4" w:space="0" w:color="000000"/>
            </w:tcBorders>
            <w:shd w:val="clear" w:color="auto" w:fill="B3B3B3"/>
          </w:tcPr>
          <w:p w14:paraId="5619DD4A" w14:textId="42E6518A" w:rsidR="00C73D1B" w:rsidRDefault="00C73D1B" w:rsidP="00C73D1B">
            <w:r w:rsidRPr="00A06C44">
              <w:rPr>
                <w:rFonts w:ascii="Times New Roman" w:eastAsia="Times New Roman" w:hAnsi="Times New Roman" w:cs="Times New Roman"/>
                <w:b/>
                <w:sz w:val="24"/>
                <w:szCs w:val="24"/>
              </w:rPr>
              <w:t>Objectives of studying the subject:</w:t>
            </w:r>
          </w:p>
        </w:tc>
      </w:tr>
      <w:tr w:rsidR="007C0FCE" w14:paraId="15070E51" w14:textId="77777777">
        <w:trPr>
          <w:trHeight w:val="1025"/>
        </w:trPr>
        <w:tc>
          <w:tcPr>
            <w:tcW w:w="9647" w:type="dxa"/>
            <w:gridSpan w:val="6"/>
            <w:tcBorders>
              <w:top w:val="single" w:sz="4" w:space="0" w:color="000000"/>
              <w:left w:val="single" w:sz="4" w:space="0" w:color="000000"/>
              <w:bottom w:val="single" w:sz="4" w:space="0" w:color="000000"/>
              <w:right w:val="single" w:sz="4" w:space="0" w:color="000000"/>
            </w:tcBorders>
          </w:tcPr>
          <w:p w14:paraId="03D4C7F1" w14:textId="510D5083" w:rsidR="007C0FCE" w:rsidRDefault="00C73D1B" w:rsidP="00C73D1B">
            <w:pPr>
              <w:jc w:val="both"/>
            </w:pPr>
            <w:r w:rsidRPr="00C73D1B">
              <w:rPr>
                <w:rFonts w:ascii="Times New Roman" w:eastAsia="Times New Roman" w:hAnsi="Times New Roman" w:cs="Times New Roman"/>
              </w:rPr>
              <w:t>The goals of the course are to deepen students' knowledge of contemporary conclusions regarding the acquisition and learning of a foreign language by adults, and to enable them to effectively solve possible problems in different teaching situations and contexts.</w:t>
            </w:r>
          </w:p>
        </w:tc>
      </w:tr>
      <w:tr w:rsidR="00C73D1B" w14:paraId="4FFE0761" w14:textId="77777777">
        <w:trPr>
          <w:trHeight w:val="259"/>
        </w:trPr>
        <w:tc>
          <w:tcPr>
            <w:tcW w:w="9647" w:type="dxa"/>
            <w:gridSpan w:val="6"/>
            <w:tcBorders>
              <w:top w:val="single" w:sz="4" w:space="0" w:color="000000"/>
              <w:left w:val="single" w:sz="4" w:space="0" w:color="000000"/>
              <w:bottom w:val="single" w:sz="4" w:space="0" w:color="000000"/>
              <w:right w:val="single" w:sz="4" w:space="0" w:color="000000"/>
            </w:tcBorders>
            <w:shd w:val="clear" w:color="auto" w:fill="B3B3B3"/>
          </w:tcPr>
          <w:p w14:paraId="4ABD01E2" w14:textId="141E328F" w:rsidR="00C73D1B" w:rsidRDefault="00C73D1B" w:rsidP="00C73D1B">
            <w:r w:rsidRPr="00A06C44">
              <w:rPr>
                <w:rFonts w:ascii="Times New Roman" w:eastAsia="Times New Roman" w:hAnsi="Times New Roman" w:cs="Times New Roman"/>
                <w:b/>
                <w:sz w:val="24"/>
                <w:szCs w:val="24"/>
              </w:rPr>
              <w:t>Learning outcome (Acquired knowledge):</w:t>
            </w:r>
          </w:p>
        </w:tc>
      </w:tr>
      <w:tr w:rsidR="007C0FCE" w14:paraId="5884B692" w14:textId="77777777">
        <w:trPr>
          <w:trHeight w:val="3556"/>
        </w:trPr>
        <w:tc>
          <w:tcPr>
            <w:tcW w:w="9647" w:type="dxa"/>
            <w:gridSpan w:val="6"/>
            <w:tcBorders>
              <w:top w:val="single" w:sz="4" w:space="0" w:color="000000"/>
              <w:left w:val="single" w:sz="4" w:space="0" w:color="000000"/>
              <w:bottom w:val="single" w:sz="4" w:space="0" w:color="000000"/>
              <w:right w:val="single" w:sz="4" w:space="0" w:color="000000"/>
            </w:tcBorders>
          </w:tcPr>
          <w:p w14:paraId="07690F97" w14:textId="77777777" w:rsidR="00C73D1B" w:rsidRPr="00C73D1B" w:rsidRDefault="00C73D1B" w:rsidP="00C73D1B">
            <w:pPr>
              <w:rPr>
                <w:rFonts w:ascii="Times New Roman" w:eastAsia="Times New Roman" w:hAnsi="Times New Roman" w:cs="Times New Roman"/>
              </w:rPr>
            </w:pPr>
            <w:r w:rsidRPr="00C73D1B">
              <w:rPr>
                <w:rFonts w:ascii="Times New Roman" w:eastAsia="Times New Roman" w:hAnsi="Times New Roman" w:cs="Times New Roman"/>
              </w:rPr>
              <w:t>After successfully completing the module, students will be able to:</w:t>
            </w:r>
          </w:p>
          <w:p w14:paraId="6487B892" w14:textId="77777777" w:rsidR="00C73D1B" w:rsidRPr="00C73D1B" w:rsidRDefault="00C73D1B" w:rsidP="00C73D1B">
            <w:pPr>
              <w:rPr>
                <w:rFonts w:ascii="Times New Roman" w:eastAsia="Times New Roman" w:hAnsi="Times New Roman" w:cs="Times New Roman"/>
              </w:rPr>
            </w:pPr>
            <w:r w:rsidRPr="00C73D1B">
              <w:rPr>
                <w:rFonts w:ascii="Times New Roman" w:eastAsia="Times New Roman" w:hAnsi="Times New Roman" w:cs="Times New Roman"/>
              </w:rPr>
              <w:t xml:space="preserve"> </w:t>
            </w:r>
          </w:p>
          <w:p w14:paraId="45C09307" w14:textId="77777777" w:rsidR="00C73D1B" w:rsidRPr="00C73D1B" w:rsidRDefault="00C73D1B" w:rsidP="00C73D1B">
            <w:pPr>
              <w:rPr>
                <w:rFonts w:ascii="Times New Roman" w:eastAsia="Times New Roman" w:hAnsi="Times New Roman" w:cs="Times New Roman"/>
              </w:rPr>
            </w:pPr>
            <w:r w:rsidRPr="00C73D1B">
              <w:rPr>
                <w:rFonts w:ascii="Times New Roman" w:eastAsia="Times New Roman" w:hAnsi="Times New Roman" w:cs="Times New Roman"/>
              </w:rPr>
              <w:t>1. Argumentatively discuss different ways of presenting, practicing and evaluating language skills in foreign language teaching so that it meets the needs of a certain group of students</w:t>
            </w:r>
          </w:p>
          <w:p w14:paraId="07D55328" w14:textId="77777777" w:rsidR="00C73D1B" w:rsidRPr="00C73D1B" w:rsidRDefault="00C73D1B" w:rsidP="00C73D1B">
            <w:pPr>
              <w:rPr>
                <w:rFonts w:ascii="Times New Roman" w:eastAsia="Times New Roman" w:hAnsi="Times New Roman" w:cs="Times New Roman"/>
              </w:rPr>
            </w:pPr>
            <w:r w:rsidRPr="00C73D1B">
              <w:rPr>
                <w:rFonts w:ascii="Times New Roman" w:eastAsia="Times New Roman" w:hAnsi="Times New Roman" w:cs="Times New Roman"/>
              </w:rPr>
              <w:t>2. Applications of modern knowledge about language components and skills in planning foreign language lessons for adult students</w:t>
            </w:r>
          </w:p>
          <w:p w14:paraId="1DE3D051" w14:textId="77777777" w:rsidR="00C73D1B" w:rsidRPr="00C73D1B" w:rsidRDefault="00C73D1B" w:rsidP="00C73D1B">
            <w:pPr>
              <w:rPr>
                <w:rFonts w:ascii="Times New Roman" w:eastAsia="Times New Roman" w:hAnsi="Times New Roman" w:cs="Times New Roman"/>
              </w:rPr>
            </w:pPr>
            <w:r w:rsidRPr="00C73D1B">
              <w:rPr>
                <w:rFonts w:ascii="Times New Roman" w:eastAsia="Times New Roman" w:hAnsi="Times New Roman" w:cs="Times New Roman"/>
              </w:rPr>
              <w:t>3. Independent preparation for the lesson, planning a teaching unit for different groups and levels of language proficiency</w:t>
            </w:r>
          </w:p>
          <w:p w14:paraId="47BB8266" w14:textId="77777777" w:rsidR="00C73D1B" w:rsidRPr="00C73D1B" w:rsidRDefault="00C73D1B" w:rsidP="00C73D1B">
            <w:pPr>
              <w:rPr>
                <w:rFonts w:ascii="Times New Roman" w:eastAsia="Times New Roman" w:hAnsi="Times New Roman" w:cs="Times New Roman"/>
              </w:rPr>
            </w:pPr>
            <w:r w:rsidRPr="00C73D1B">
              <w:rPr>
                <w:rFonts w:ascii="Times New Roman" w:eastAsia="Times New Roman" w:hAnsi="Times New Roman" w:cs="Times New Roman"/>
              </w:rPr>
              <w:t>4. They successfully teach high-quality foreign language classes to adult students, independently and/or in a team with a colleague.</w:t>
            </w:r>
          </w:p>
          <w:p w14:paraId="7F866E20" w14:textId="07EF64BE" w:rsidR="00C73D1B" w:rsidRPr="00C73D1B" w:rsidRDefault="00C73D1B" w:rsidP="00C73D1B">
            <w:pPr>
              <w:rPr>
                <w:rFonts w:ascii="Times New Roman" w:eastAsia="Times New Roman" w:hAnsi="Times New Roman" w:cs="Times New Roman"/>
              </w:rPr>
            </w:pPr>
            <w:r w:rsidRPr="00C73D1B">
              <w:rPr>
                <w:rFonts w:ascii="Times New Roman" w:eastAsia="Times New Roman" w:hAnsi="Times New Roman" w:cs="Times New Roman"/>
              </w:rPr>
              <w:t>5. Critically observe, analyze and evaluate their own lessons in writing and orally classes of colleagues</w:t>
            </w:r>
          </w:p>
          <w:p w14:paraId="0351144E" w14:textId="2B300026" w:rsidR="007C0FCE" w:rsidRDefault="007C0FCE" w:rsidP="00C73D1B"/>
        </w:tc>
      </w:tr>
      <w:tr w:rsidR="00C73D1B" w14:paraId="664072A6" w14:textId="77777777">
        <w:trPr>
          <w:trHeight w:val="260"/>
        </w:trPr>
        <w:tc>
          <w:tcPr>
            <w:tcW w:w="9647" w:type="dxa"/>
            <w:gridSpan w:val="6"/>
            <w:tcBorders>
              <w:top w:val="single" w:sz="4" w:space="0" w:color="000000"/>
              <w:left w:val="single" w:sz="4" w:space="0" w:color="000000"/>
              <w:bottom w:val="single" w:sz="4" w:space="0" w:color="000000"/>
              <w:right w:val="single" w:sz="4" w:space="0" w:color="000000"/>
            </w:tcBorders>
            <w:shd w:val="clear" w:color="auto" w:fill="B3B3B3"/>
          </w:tcPr>
          <w:p w14:paraId="765CEEC2" w14:textId="0411D223" w:rsidR="00C73D1B" w:rsidRDefault="00C73D1B" w:rsidP="00C73D1B">
            <w:r w:rsidRPr="00A06C44">
              <w:rPr>
                <w:rFonts w:ascii="Times New Roman" w:eastAsia="Times New Roman" w:hAnsi="Times New Roman" w:cs="Times New Roman"/>
                <w:b/>
                <w:sz w:val="24"/>
                <w:szCs w:val="24"/>
              </w:rPr>
              <w:t>Course content:</w:t>
            </w:r>
          </w:p>
        </w:tc>
      </w:tr>
      <w:tr w:rsidR="007C0FCE" w14:paraId="3556E08C" w14:textId="77777777">
        <w:trPr>
          <w:trHeight w:val="3049"/>
        </w:trPr>
        <w:tc>
          <w:tcPr>
            <w:tcW w:w="9647" w:type="dxa"/>
            <w:gridSpan w:val="6"/>
            <w:tcBorders>
              <w:top w:val="single" w:sz="4" w:space="0" w:color="000000"/>
              <w:left w:val="single" w:sz="4" w:space="0" w:color="000000"/>
              <w:bottom w:val="single" w:sz="4" w:space="0" w:color="000000"/>
              <w:right w:val="single" w:sz="4" w:space="0" w:color="000000"/>
            </w:tcBorders>
          </w:tcPr>
          <w:p w14:paraId="34442547" w14:textId="0DCA46C6" w:rsidR="007C0FCE" w:rsidRDefault="00A12EFC" w:rsidP="00A12EFC">
            <w:pPr>
              <w:jc w:val="both"/>
            </w:pPr>
            <w:r>
              <w:rPr>
                <w:rFonts w:ascii="Times New Roman" w:eastAsia="Times New Roman" w:hAnsi="Times New Roman" w:cs="Times New Roman"/>
              </w:rPr>
              <w:lastRenderedPageBreak/>
              <w:t>On t</w:t>
            </w:r>
            <w:r w:rsidRPr="00A12EFC">
              <w:rPr>
                <w:rFonts w:ascii="Times New Roman" w:eastAsia="Times New Roman" w:hAnsi="Times New Roman" w:cs="Times New Roman"/>
              </w:rPr>
              <w:t>he course the material mastered at the undergraduate study in the methodology of foreign language teaching with a special focus on adults will</w:t>
            </w:r>
            <w:r>
              <w:rPr>
                <w:rFonts w:ascii="Times New Roman" w:eastAsia="Times New Roman" w:hAnsi="Times New Roman" w:cs="Times New Roman"/>
              </w:rPr>
              <w:t xml:space="preserve"> be</w:t>
            </w:r>
            <w:r w:rsidRPr="00A12EFC">
              <w:rPr>
                <w:rFonts w:ascii="Times New Roman" w:eastAsia="Times New Roman" w:hAnsi="Times New Roman" w:cs="Times New Roman"/>
              </w:rPr>
              <w:t xml:space="preserve"> stud</w:t>
            </w:r>
            <w:r>
              <w:rPr>
                <w:rFonts w:ascii="Times New Roman" w:eastAsia="Times New Roman" w:hAnsi="Times New Roman" w:cs="Times New Roman"/>
              </w:rPr>
              <w:t>ied</w:t>
            </w:r>
            <w:r w:rsidRPr="00A12EFC">
              <w:rPr>
                <w:rFonts w:ascii="Times New Roman" w:eastAsia="Times New Roman" w:hAnsi="Times New Roman" w:cs="Times New Roman"/>
              </w:rPr>
              <w:t xml:space="preserve"> in more detail. Efforts will be made to meet the individual needs of students and modify the planned syllabus in accordance with them, and students' competencies will be improved in thematic areas such as: planning and organization of foreign language lessons and courses, learning goals and outcomes, roles of language teachers and development of teacher competencies, contextualization language teaching, intercultural communicative competence, development of language skills individually and integrated, motivation in language teaching, learning styles and strategies (student preferences), individual differences, creativity in language teaching, autonomy of students and teachers, learning and acquisition of a foreign language by adults independently and in organized groups, and others.</w:t>
            </w:r>
          </w:p>
        </w:tc>
      </w:tr>
      <w:tr w:rsidR="00A12EFC" w14:paraId="1E6BC0A0" w14:textId="77777777">
        <w:trPr>
          <w:trHeight w:val="262"/>
        </w:trPr>
        <w:tc>
          <w:tcPr>
            <w:tcW w:w="9647" w:type="dxa"/>
            <w:gridSpan w:val="6"/>
            <w:tcBorders>
              <w:top w:val="single" w:sz="4" w:space="0" w:color="000000"/>
              <w:left w:val="single" w:sz="4" w:space="0" w:color="000000"/>
              <w:bottom w:val="single" w:sz="4" w:space="0" w:color="000000"/>
              <w:right w:val="single" w:sz="4" w:space="0" w:color="000000"/>
            </w:tcBorders>
            <w:shd w:val="clear" w:color="auto" w:fill="B3B3B3"/>
          </w:tcPr>
          <w:p w14:paraId="60F126D6" w14:textId="3A608F38" w:rsidR="00A12EFC" w:rsidRDefault="00A12EFC" w:rsidP="00A12EFC">
            <w:r w:rsidRPr="00A06C44">
              <w:rPr>
                <w:rFonts w:ascii="Times New Roman" w:eastAsia="Times New Roman" w:hAnsi="Times New Roman" w:cs="Times New Roman"/>
                <w:b/>
                <w:sz w:val="24"/>
                <w:szCs w:val="24"/>
              </w:rPr>
              <w:t>Teaching methods and mastering the material:</w:t>
            </w:r>
          </w:p>
        </w:tc>
      </w:tr>
      <w:tr w:rsidR="007C0FCE" w14:paraId="3F18B692" w14:textId="77777777">
        <w:trPr>
          <w:trHeight w:val="4061"/>
        </w:trPr>
        <w:tc>
          <w:tcPr>
            <w:tcW w:w="9647" w:type="dxa"/>
            <w:gridSpan w:val="6"/>
            <w:tcBorders>
              <w:top w:val="single" w:sz="4" w:space="0" w:color="000000"/>
              <w:left w:val="single" w:sz="4" w:space="0" w:color="000000"/>
              <w:bottom w:val="single" w:sz="4" w:space="0" w:color="000000"/>
              <w:right w:val="single" w:sz="4" w:space="0" w:color="000000"/>
            </w:tcBorders>
          </w:tcPr>
          <w:p w14:paraId="1D722596" w14:textId="0EE8CBF7" w:rsidR="007C0FCE" w:rsidRDefault="00A12EFC" w:rsidP="00A12EFC">
            <w:pPr>
              <w:ind w:left="1"/>
              <w:jc w:val="both"/>
            </w:pPr>
            <w:r w:rsidRPr="00A12EFC">
              <w:rPr>
                <w:rFonts w:ascii="Times New Roman" w:eastAsia="Times New Roman" w:hAnsi="Times New Roman" w:cs="Times New Roman"/>
              </w:rPr>
              <w:t>Interactive lectures, workshops, presentations, debates, exercises in pairs and small groups, consultations. The practical approach through interactive lectures and exercises is aimed at encouraging and developing students' teaching competencies, gaining experience in different teaching contexts and with different ages of students, and establishing awareness of the necessity of lifelong education. The methodical knowledge of students, adopted at undergraduate studies, is expanded when it comes to planning, conducting and evaluating foreign language classes. In discussions about modern approaches to foreign language teaching, problems that may arise when applying different sources in teaching practice are identified and effective ways of overcoming them are considered. The creation of teaching materials and the planning of foreign language lessons are practiced with the application of modern communicative methods of language teaching. Teaching colleagues, independently and/or in a team, is a pre-exam obligation for everyone. Reflecting on one's own work and the work of colleagues, verbally and in writing, is constantly encouraged. During the entire semester, a teacher's portfolio is prepared, with all preparations for the class, teaching materials, reflective essays, class evaluations by colleagues and elements chosen by the student.</w:t>
            </w:r>
          </w:p>
        </w:tc>
      </w:tr>
      <w:tr w:rsidR="007C0FCE" w14:paraId="3132C127" w14:textId="77777777">
        <w:trPr>
          <w:trHeight w:val="259"/>
        </w:trPr>
        <w:tc>
          <w:tcPr>
            <w:tcW w:w="9647" w:type="dxa"/>
            <w:gridSpan w:val="6"/>
            <w:tcBorders>
              <w:top w:val="single" w:sz="4" w:space="0" w:color="000000"/>
              <w:left w:val="single" w:sz="4" w:space="0" w:color="000000"/>
              <w:bottom w:val="single" w:sz="4" w:space="0" w:color="000000"/>
              <w:right w:val="single" w:sz="4" w:space="0" w:color="000000"/>
            </w:tcBorders>
            <w:shd w:val="clear" w:color="auto" w:fill="B3B3B3"/>
          </w:tcPr>
          <w:p w14:paraId="3220D907" w14:textId="293CF261" w:rsidR="007C0FCE" w:rsidRDefault="00A12EFC">
            <w:pPr>
              <w:ind w:left="1"/>
            </w:pPr>
            <w:r>
              <w:rPr>
                <w:rFonts w:ascii="Times New Roman" w:eastAsia="Times New Roman" w:hAnsi="Times New Roman" w:cs="Times New Roman"/>
                <w:b/>
              </w:rPr>
              <w:t>Literature:</w:t>
            </w:r>
          </w:p>
        </w:tc>
      </w:tr>
      <w:tr w:rsidR="007C0FCE" w14:paraId="1357ECDA" w14:textId="77777777">
        <w:trPr>
          <w:trHeight w:val="4425"/>
        </w:trPr>
        <w:tc>
          <w:tcPr>
            <w:tcW w:w="9647" w:type="dxa"/>
            <w:gridSpan w:val="6"/>
            <w:tcBorders>
              <w:top w:val="single" w:sz="4" w:space="0" w:color="000000"/>
              <w:left w:val="single" w:sz="4" w:space="0" w:color="000000"/>
              <w:bottom w:val="single" w:sz="4" w:space="0" w:color="000000"/>
              <w:right w:val="single" w:sz="4" w:space="0" w:color="000000"/>
            </w:tcBorders>
          </w:tcPr>
          <w:p w14:paraId="0328C652" w14:textId="77777777" w:rsidR="007C0FCE" w:rsidRDefault="00BB30B7">
            <w:pPr>
              <w:ind w:left="1"/>
            </w:pPr>
            <w:r>
              <w:rPr>
                <w:rFonts w:ascii="Times New Roman" w:eastAsia="Times New Roman" w:hAnsi="Times New Roman" w:cs="Times New Roman"/>
              </w:rPr>
              <w:t xml:space="preserve"> </w:t>
            </w:r>
          </w:p>
          <w:p w14:paraId="4E4CE066" w14:textId="77777777" w:rsidR="007C0FCE" w:rsidRDefault="00BB30B7">
            <w:pPr>
              <w:numPr>
                <w:ilvl w:val="0"/>
                <w:numId w:val="2"/>
              </w:numPr>
              <w:spacing w:after="10" w:line="244" w:lineRule="auto"/>
              <w:ind w:hanging="360"/>
            </w:pPr>
            <w:r>
              <w:rPr>
                <w:rFonts w:ascii="Times New Roman" w:eastAsia="Times New Roman" w:hAnsi="Times New Roman" w:cs="Times New Roman"/>
              </w:rPr>
              <w:t xml:space="preserve">Brown, H. D. (2000). </w:t>
            </w:r>
            <w:r>
              <w:rPr>
                <w:rFonts w:ascii="Times New Roman" w:eastAsia="Times New Roman" w:hAnsi="Times New Roman" w:cs="Times New Roman"/>
                <w:i/>
              </w:rPr>
              <w:t>Principles of Language Learning and Teaching</w:t>
            </w:r>
            <w:r>
              <w:rPr>
                <w:rFonts w:ascii="Times New Roman" w:eastAsia="Times New Roman" w:hAnsi="Times New Roman" w:cs="Times New Roman"/>
              </w:rPr>
              <w:t xml:space="preserve">. 4th. ed. Englewood Cliffs, NJ: Prentice-Hall </w:t>
            </w:r>
          </w:p>
          <w:p w14:paraId="76499420" w14:textId="77777777" w:rsidR="007C0FCE" w:rsidRDefault="00BB30B7">
            <w:pPr>
              <w:numPr>
                <w:ilvl w:val="0"/>
                <w:numId w:val="2"/>
              </w:numPr>
              <w:spacing w:after="12" w:line="244" w:lineRule="auto"/>
              <w:ind w:hanging="360"/>
            </w:pPr>
            <w:r>
              <w:rPr>
                <w:rFonts w:ascii="Times New Roman" w:eastAsia="Times New Roman" w:hAnsi="Times New Roman" w:cs="Times New Roman"/>
              </w:rPr>
              <w:t xml:space="preserve">Brown H.D. (2007). </w:t>
            </w:r>
            <w:r>
              <w:rPr>
                <w:rFonts w:ascii="Times New Roman" w:eastAsia="Times New Roman" w:hAnsi="Times New Roman" w:cs="Times New Roman"/>
                <w:i/>
              </w:rPr>
              <w:t>Teaching by principles. An interactive approach to Language Pedagogy</w:t>
            </w:r>
            <w:r>
              <w:rPr>
                <w:rFonts w:ascii="Times New Roman" w:eastAsia="Times New Roman" w:hAnsi="Times New Roman" w:cs="Times New Roman"/>
              </w:rPr>
              <w:t xml:space="preserve">. Harlow: Longman </w:t>
            </w:r>
          </w:p>
          <w:p w14:paraId="7FC4961E" w14:textId="77777777" w:rsidR="007C0FCE" w:rsidRDefault="00BB30B7">
            <w:pPr>
              <w:numPr>
                <w:ilvl w:val="0"/>
                <w:numId w:val="2"/>
              </w:numPr>
              <w:spacing w:after="8" w:line="244" w:lineRule="auto"/>
              <w:ind w:hanging="360"/>
            </w:pPr>
            <w:r>
              <w:rPr>
                <w:rFonts w:ascii="Times New Roman" w:eastAsia="Times New Roman" w:hAnsi="Times New Roman" w:cs="Times New Roman"/>
              </w:rPr>
              <w:t xml:space="preserve">Council of Europe. (2001). </w:t>
            </w:r>
            <w:r>
              <w:rPr>
                <w:rFonts w:ascii="Times New Roman" w:eastAsia="Times New Roman" w:hAnsi="Times New Roman" w:cs="Times New Roman"/>
                <w:i/>
              </w:rPr>
              <w:t>Common European Framework of Reference for Languages: Learning, teaching, assessment.</w:t>
            </w:r>
            <w:r>
              <w:rPr>
                <w:rFonts w:ascii="Times New Roman" w:eastAsia="Times New Roman" w:hAnsi="Times New Roman" w:cs="Times New Roman"/>
              </w:rPr>
              <w:t xml:space="preserve"> Cambridge: CUP.  </w:t>
            </w:r>
          </w:p>
          <w:p w14:paraId="33BFFEE6" w14:textId="77777777" w:rsidR="007C0FCE" w:rsidRDefault="00BB30B7">
            <w:pPr>
              <w:numPr>
                <w:ilvl w:val="0"/>
                <w:numId w:val="2"/>
              </w:numPr>
              <w:spacing w:after="4" w:line="250" w:lineRule="auto"/>
              <w:ind w:hanging="360"/>
            </w:pPr>
            <w:r>
              <w:rPr>
                <w:rFonts w:ascii="Times New Roman" w:eastAsia="Times New Roman" w:hAnsi="Times New Roman" w:cs="Times New Roman"/>
              </w:rPr>
              <w:t xml:space="preserve">Harmer, J. (2007). </w:t>
            </w:r>
            <w:r>
              <w:rPr>
                <w:rFonts w:ascii="Times New Roman" w:eastAsia="Times New Roman" w:hAnsi="Times New Roman" w:cs="Times New Roman"/>
                <w:i/>
              </w:rPr>
              <w:t>The Practice of English Language Teaching</w:t>
            </w:r>
            <w:r>
              <w:rPr>
                <w:rFonts w:ascii="Times New Roman" w:eastAsia="Times New Roman" w:hAnsi="Times New Roman" w:cs="Times New Roman"/>
              </w:rPr>
              <w:t>. (4</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ed.) Harlow: Pearson Education Limited. </w:t>
            </w:r>
          </w:p>
          <w:p w14:paraId="67A29D16" w14:textId="77777777" w:rsidR="007C0FCE" w:rsidRDefault="00BB30B7">
            <w:pPr>
              <w:numPr>
                <w:ilvl w:val="0"/>
                <w:numId w:val="2"/>
              </w:numPr>
              <w:ind w:hanging="360"/>
            </w:pPr>
            <w:r>
              <w:rPr>
                <w:rFonts w:ascii="Times New Roman" w:eastAsia="Times New Roman" w:hAnsi="Times New Roman" w:cs="Times New Roman"/>
              </w:rPr>
              <w:t>McKay, H. and A. Tom (1999)</w:t>
            </w:r>
            <w:r>
              <w:rPr>
                <w:rFonts w:ascii="Times New Roman" w:eastAsia="Times New Roman" w:hAnsi="Times New Roman" w:cs="Times New Roman"/>
                <w:i/>
              </w:rPr>
              <w:t xml:space="preserve">. Teaching Adult Second Language Learners. </w:t>
            </w:r>
            <w:r>
              <w:rPr>
                <w:rFonts w:ascii="Times New Roman" w:eastAsia="Times New Roman" w:hAnsi="Times New Roman" w:cs="Times New Roman"/>
              </w:rPr>
              <w:t xml:space="preserve">Cambridge: CUP. </w:t>
            </w:r>
            <w:r>
              <w:rPr>
                <w:rFonts w:ascii="Times New Roman" w:eastAsia="Times New Roman" w:hAnsi="Times New Roman" w:cs="Times New Roman"/>
                <w:i/>
              </w:rPr>
              <w:t xml:space="preserve"> </w:t>
            </w:r>
          </w:p>
          <w:p w14:paraId="64714588" w14:textId="77777777" w:rsidR="007C0FCE" w:rsidRDefault="00BB30B7">
            <w:pPr>
              <w:numPr>
                <w:ilvl w:val="0"/>
                <w:numId w:val="2"/>
              </w:numPr>
              <w:spacing w:after="13" w:line="242" w:lineRule="auto"/>
              <w:ind w:hanging="360"/>
            </w:pPr>
            <w:r>
              <w:rPr>
                <w:rFonts w:ascii="Times New Roman" w:eastAsia="Times New Roman" w:hAnsi="Times New Roman" w:cs="Times New Roman"/>
              </w:rPr>
              <w:t xml:space="preserve">Newby, D. </w:t>
            </w:r>
            <w:r>
              <w:rPr>
                <w:rFonts w:ascii="Times New Roman" w:eastAsia="Times New Roman" w:hAnsi="Times New Roman" w:cs="Times New Roman"/>
                <w:i/>
              </w:rPr>
              <w:t>et al</w:t>
            </w:r>
            <w:r>
              <w:rPr>
                <w:rFonts w:ascii="Times New Roman" w:eastAsia="Times New Roman" w:hAnsi="Times New Roman" w:cs="Times New Roman"/>
              </w:rPr>
              <w:t>. (eds.) (2007).</w:t>
            </w:r>
            <w:r>
              <w:rPr>
                <w:rFonts w:ascii="Verdana" w:eastAsia="Verdana" w:hAnsi="Verdana" w:cs="Verdana"/>
                <w:sz w:val="18"/>
              </w:rPr>
              <w:t xml:space="preserve"> </w:t>
            </w:r>
            <w:r>
              <w:rPr>
                <w:rFonts w:ascii="Times New Roman" w:eastAsia="Times New Roman" w:hAnsi="Times New Roman" w:cs="Times New Roman"/>
                <w:i/>
              </w:rPr>
              <w:t xml:space="preserve">European Portfolio for Student Teachers of Languages: А reflection tool for language teacher education.  </w:t>
            </w:r>
            <w:r>
              <w:rPr>
                <w:rFonts w:ascii="Times New Roman" w:eastAsia="Times New Roman" w:hAnsi="Times New Roman" w:cs="Times New Roman"/>
              </w:rPr>
              <w:t xml:space="preserve">Strasbourg / Graz: Council of Europe / European Centre for Modern Languages. </w:t>
            </w:r>
            <w:hyperlink r:id="rId6">
              <w:r>
                <w:rPr>
                  <w:rFonts w:ascii="Times New Roman" w:eastAsia="Times New Roman" w:hAnsi="Times New Roman" w:cs="Times New Roman"/>
                  <w:color w:val="0563C1"/>
                  <w:u w:val="single" w:color="0563C1"/>
                </w:rPr>
                <w:t>http://epostl2.ecml.at/</w:t>
              </w:r>
            </w:hyperlink>
            <w:hyperlink r:id="rId7">
              <w:r>
                <w:rPr>
                  <w:rFonts w:ascii="Times New Roman" w:eastAsia="Times New Roman" w:hAnsi="Times New Roman" w:cs="Times New Roman"/>
                </w:rPr>
                <w:t xml:space="preserve"> </w:t>
              </w:r>
            </w:hyperlink>
            <w:r>
              <w:rPr>
                <w:rFonts w:ascii="Times New Roman" w:eastAsia="Times New Roman" w:hAnsi="Times New Roman" w:cs="Times New Roman"/>
              </w:rPr>
              <w:t xml:space="preserve"> </w:t>
            </w:r>
          </w:p>
          <w:p w14:paraId="68856BDD" w14:textId="77777777" w:rsidR="007C0FCE" w:rsidRDefault="00BB30B7">
            <w:pPr>
              <w:numPr>
                <w:ilvl w:val="0"/>
                <w:numId w:val="2"/>
              </w:numPr>
              <w:ind w:hanging="360"/>
            </w:pPr>
            <w:r>
              <w:rPr>
                <w:rFonts w:ascii="Times New Roman" w:eastAsia="Times New Roman" w:hAnsi="Times New Roman" w:cs="Times New Roman"/>
              </w:rPr>
              <w:t xml:space="preserve">Scrivener, J. (2005). </w:t>
            </w:r>
            <w:r>
              <w:rPr>
                <w:rFonts w:ascii="Times New Roman" w:eastAsia="Times New Roman" w:hAnsi="Times New Roman" w:cs="Times New Roman"/>
                <w:i/>
              </w:rPr>
              <w:t>Learning Teaching</w:t>
            </w:r>
            <w:r>
              <w:rPr>
                <w:rFonts w:ascii="Times New Roman" w:eastAsia="Times New Roman" w:hAnsi="Times New Roman" w:cs="Times New Roman"/>
              </w:rPr>
              <w:t xml:space="preserve">. Oxford: Macmillan Publishers.  </w:t>
            </w:r>
          </w:p>
          <w:p w14:paraId="6187E7FB" w14:textId="77777777" w:rsidR="007C0FCE" w:rsidRDefault="00BB30B7">
            <w:pPr>
              <w:spacing w:after="21"/>
              <w:ind w:left="1"/>
            </w:pPr>
            <w:r>
              <w:rPr>
                <w:rFonts w:ascii="Times New Roman" w:eastAsia="Times New Roman" w:hAnsi="Times New Roman" w:cs="Times New Roman"/>
              </w:rPr>
              <w:t xml:space="preserve"> </w:t>
            </w:r>
          </w:p>
          <w:p w14:paraId="3F37F066" w14:textId="77777777" w:rsidR="00A12EFC" w:rsidRPr="00A06C44" w:rsidRDefault="00A12EFC" w:rsidP="00A12EFC">
            <w:pPr>
              <w:rPr>
                <w:rFonts w:ascii="Times New Roman" w:eastAsia="Times New Roman" w:hAnsi="Times New Roman" w:cs="Times New Roman"/>
                <w:sz w:val="24"/>
                <w:szCs w:val="24"/>
              </w:rPr>
            </w:pPr>
            <w:r w:rsidRPr="00A06C44">
              <w:rPr>
                <w:rFonts w:ascii="Times New Roman" w:eastAsia="Times New Roman" w:hAnsi="Times New Roman" w:cs="Times New Roman"/>
                <w:sz w:val="24"/>
                <w:szCs w:val="24"/>
              </w:rPr>
              <w:t>The list of additional literature will be adapted to the individual needs of students.</w:t>
            </w:r>
          </w:p>
          <w:p w14:paraId="40122666" w14:textId="77777777" w:rsidR="007C0FCE" w:rsidRDefault="00BB30B7">
            <w:pPr>
              <w:ind w:left="1"/>
            </w:pPr>
            <w:r>
              <w:rPr>
                <w:rFonts w:ascii="Times New Roman" w:eastAsia="Times New Roman" w:hAnsi="Times New Roman" w:cs="Times New Roman"/>
              </w:rPr>
              <w:t xml:space="preserve"> </w:t>
            </w:r>
          </w:p>
        </w:tc>
      </w:tr>
      <w:tr w:rsidR="000C4783" w14:paraId="63BA6B94" w14:textId="77777777">
        <w:trPr>
          <w:trHeight w:val="260"/>
        </w:trPr>
        <w:tc>
          <w:tcPr>
            <w:tcW w:w="9647" w:type="dxa"/>
            <w:gridSpan w:val="6"/>
            <w:tcBorders>
              <w:top w:val="single" w:sz="4" w:space="0" w:color="000000"/>
              <w:left w:val="single" w:sz="4" w:space="0" w:color="000000"/>
              <w:bottom w:val="single" w:sz="4" w:space="0" w:color="000000"/>
              <w:right w:val="single" w:sz="4" w:space="0" w:color="000000"/>
            </w:tcBorders>
            <w:shd w:val="clear" w:color="auto" w:fill="B3B3B3"/>
          </w:tcPr>
          <w:p w14:paraId="2F2619D9" w14:textId="3D2B4B12" w:rsidR="000C4783" w:rsidRDefault="000C4783" w:rsidP="000C4783">
            <w:pPr>
              <w:ind w:left="1"/>
            </w:pPr>
            <w:r w:rsidRPr="00EE1A45">
              <w:rPr>
                <w:rFonts w:ascii="Times New Roman" w:eastAsia="Times New Roman" w:hAnsi="Times New Roman" w:cs="Times New Roman"/>
                <w:b/>
                <w:sz w:val="24"/>
                <w:szCs w:val="24"/>
              </w:rPr>
              <w:t>Forms of knowledge testing and assessment:</w:t>
            </w:r>
          </w:p>
        </w:tc>
      </w:tr>
      <w:tr w:rsidR="000C4783" w14:paraId="6E3EAEBA" w14:textId="77777777">
        <w:trPr>
          <w:trHeight w:val="265"/>
        </w:trPr>
        <w:tc>
          <w:tcPr>
            <w:tcW w:w="9647" w:type="dxa"/>
            <w:gridSpan w:val="6"/>
            <w:tcBorders>
              <w:top w:val="single" w:sz="4" w:space="0" w:color="000000"/>
              <w:left w:val="single" w:sz="4" w:space="0" w:color="000000"/>
              <w:bottom w:val="single" w:sz="4" w:space="0" w:color="000000"/>
              <w:right w:val="single" w:sz="4" w:space="0" w:color="000000"/>
            </w:tcBorders>
          </w:tcPr>
          <w:p w14:paraId="01BDED21" w14:textId="7CC1D58B" w:rsidR="000C4783" w:rsidRDefault="000C4783" w:rsidP="000C4783">
            <w:pPr>
              <w:ind w:left="1"/>
            </w:pPr>
          </w:p>
        </w:tc>
      </w:tr>
      <w:tr w:rsidR="007C0FCE" w14:paraId="1B2A02DF" w14:textId="77777777">
        <w:trPr>
          <w:trHeight w:val="262"/>
        </w:trPr>
        <w:tc>
          <w:tcPr>
            <w:tcW w:w="2233" w:type="dxa"/>
            <w:tcBorders>
              <w:top w:val="single" w:sz="4" w:space="0" w:color="000000"/>
              <w:left w:val="single" w:sz="4" w:space="0" w:color="000000"/>
              <w:bottom w:val="single" w:sz="4" w:space="0" w:color="000000"/>
              <w:right w:val="single" w:sz="4" w:space="0" w:color="000000"/>
            </w:tcBorders>
          </w:tcPr>
          <w:p w14:paraId="75C2080F" w14:textId="33065657" w:rsidR="007C0FCE" w:rsidRDefault="000C4783">
            <w:pPr>
              <w:ind w:left="1"/>
            </w:pPr>
            <w:r w:rsidRPr="000C4783">
              <w:rPr>
                <w:rFonts w:ascii="Times New Roman" w:eastAsia="Times New Roman" w:hAnsi="Times New Roman" w:cs="Times New Roman"/>
              </w:rPr>
              <w:t>Portfolio</w:t>
            </w:r>
          </w:p>
        </w:tc>
        <w:tc>
          <w:tcPr>
            <w:tcW w:w="709" w:type="dxa"/>
            <w:tcBorders>
              <w:top w:val="single" w:sz="4" w:space="0" w:color="000000"/>
              <w:left w:val="single" w:sz="4" w:space="0" w:color="000000"/>
              <w:bottom w:val="single" w:sz="4" w:space="0" w:color="000000"/>
              <w:right w:val="single" w:sz="4" w:space="0" w:color="000000"/>
            </w:tcBorders>
          </w:tcPr>
          <w:p w14:paraId="2FBC2D59" w14:textId="77777777" w:rsidR="007C0FCE" w:rsidRDefault="00BB30B7">
            <w:pPr>
              <w:ind w:left="3"/>
            </w:pPr>
            <w:r>
              <w:rPr>
                <w:rFonts w:ascii="Times New Roman" w:eastAsia="Times New Roman" w:hAnsi="Times New Roman" w:cs="Times New Roman"/>
                <w:sz w:val="20"/>
              </w:rPr>
              <w:t xml:space="preserve">40 </w:t>
            </w:r>
          </w:p>
        </w:tc>
        <w:tc>
          <w:tcPr>
            <w:tcW w:w="2837" w:type="dxa"/>
            <w:tcBorders>
              <w:top w:val="single" w:sz="4" w:space="0" w:color="000000"/>
              <w:left w:val="single" w:sz="4" w:space="0" w:color="000000"/>
              <w:bottom w:val="single" w:sz="4" w:space="0" w:color="000000"/>
              <w:right w:val="single" w:sz="4" w:space="0" w:color="000000"/>
            </w:tcBorders>
          </w:tcPr>
          <w:p w14:paraId="61247996" w14:textId="1CFBC750" w:rsidR="007C0FCE" w:rsidRDefault="000C4783">
            <w:pPr>
              <w:ind w:left="2"/>
            </w:pPr>
            <w:r w:rsidRPr="000C4783">
              <w:rPr>
                <w:rFonts w:ascii="Times New Roman" w:eastAsia="Times New Roman" w:hAnsi="Times New Roman" w:cs="Times New Roman"/>
              </w:rPr>
              <w:t>Preparing and holding a lesson</w:t>
            </w:r>
          </w:p>
        </w:tc>
        <w:tc>
          <w:tcPr>
            <w:tcW w:w="708" w:type="dxa"/>
            <w:tcBorders>
              <w:top w:val="single" w:sz="4" w:space="0" w:color="000000"/>
              <w:left w:val="single" w:sz="4" w:space="0" w:color="000000"/>
              <w:bottom w:val="single" w:sz="4" w:space="0" w:color="000000"/>
              <w:right w:val="single" w:sz="4" w:space="0" w:color="000000"/>
            </w:tcBorders>
          </w:tcPr>
          <w:p w14:paraId="4F59498E" w14:textId="77777777" w:rsidR="007C0FCE" w:rsidRDefault="00BB30B7">
            <w:r>
              <w:rPr>
                <w:rFonts w:ascii="Times New Roman" w:eastAsia="Times New Roman" w:hAnsi="Times New Roman" w:cs="Times New Roman"/>
                <w:sz w:val="20"/>
              </w:rPr>
              <w:t xml:space="preserve">30 </w:t>
            </w:r>
          </w:p>
        </w:tc>
        <w:tc>
          <w:tcPr>
            <w:tcW w:w="2261" w:type="dxa"/>
            <w:tcBorders>
              <w:top w:val="single" w:sz="4" w:space="0" w:color="000000"/>
              <w:left w:val="single" w:sz="4" w:space="0" w:color="000000"/>
              <w:bottom w:val="single" w:sz="4" w:space="0" w:color="000000"/>
              <w:right w:val="single" w:sz="4" w:space="0" w:color="000000"/>
            </w:tcBorders>
          </w:tcPr>
          <w:p w14:paraId="2F67B32A" w14:textId="7565EE4B" w:rsidR="007C0FCE" w:rsidRDefault="000C4783">
            <w:pPr>
              <w:ind w:left="2"/>
            </w:pPr>
            <w:r>
              <w:rPr>
                <w:rFonts w:ascii="Times New Roman" w:eastAsia="Times New Roman" w:hAnsi="Times New Roman" w:cs="Times New Roman"/>
              </w:rPr>
              <w:t>Final exam</w:t>
            </w:r>
          </w:p>
        </w:tc>
        <w:tc>
          <w:tcPr>
            <w:tcW w:w="899" w:type="dxa"/>
            <w:tcBorders>
              <w:top w:val="single" w:sz="4" w:space="0" w:color="000000"/>
              <w:left w:val="single" w:sz="4" w:space="0" w:color="000000"/>
              <w:bottom w:val="single" w:sz="4" w:space="0" w:color="000000"/>
              <w:right w:val="single" w:sz="4" w:space="0" w:color="000000"/>
            </w:tcBorders>
          </w:tcPr>
          <w:p w14:paraId="38511F49" w14:textId="77777777" w:rsidR="007C0FCE" w:rsidRDefault="00BB30B7">
            <w:pPr>
              <w:ind w:left="2"/>
            </w:pPr>
            <w:r>
              <w:rPr>
                <w:rFonts w:ascii="Times New Roman" w:eastAsia="Times New Roman" w:hAnsi="Times New Roman" w:cs="Times New Roman"/>
                <w:sz w:val="20"/>
              </w:rPr>
              <w:t xml:space="preserve">30 </w:t>
            </w:r>
          </w:p>
        </w:tc>
      </w:tr>
      <w:tr w:rsidR="007C0FCE" w14:paraId="12937327" w14:textId="77777777">
        <w:trPr>
          <w:trHeight w:val="772"/>
        </w:trPr>
        <w:tc>
          <w:tcPr>
            <w:tcW w:w="9647" w:type="dxa"/>
            <w:gridSpan w:val="6"/>
            <w:tcBorders>
              <w:top w:val="single" w:sz="4" w:space="0" w:color="000000"/>
              <w:left w:val="single" w:sz="4" w:space="0" w:color="000000"/>
              <w:bottom w:val="single" w:sz="4" w:space="0" w:color="000000"/>
              <w:right w:val="single" w:sz="4" w:space="0" w:color="000000"/>
            </w:tcBorders>
          </w:tcPr>
          <w:p w14:paraId="35BCE633" w14:textId="77777777" w:rsidR="007C0FCE" w:rsidRDefault="00BB30B7">
            <w:pPr>
              <w:spacing w:after="21"/>
              <w:ind w:left="1"/>
            </w:pPr>
            <w:r>
              <w:rPr>
                <w:rFonts w:ascii="Times New Roman" w:eastAsia="Times New Roman" w:hAnsi="Times New Roman" w:cs="Times New Roman"/>
              </w:rPr>
              <w:t xml:space="preserve"> </w:t>
            </w:r>
          </w:p>
          <w:p w14:paraId="2AD80D6B" w14:textId="77777777" w:rsidR="007C0FCE" w:rsidRDefault="00BB30B7">
            <w:pPr>
              <w:ind w:left="1"/>
            </w:pPr>
            <w:proofErr w:type="spellStart"/>
            <w:r>
              <w:rPr>
                <w:rFonts w:ascii="Times New Roman" w:eastAsia="Times New Roman" w:hAnsi="Times New Roman" w:cs="Times New Roman"/>
              </w:rPr>
              <w:t>Закључна</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оцјена</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представља</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збир</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свих</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наведених</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облика</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провјере</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знања</w:t>
            </w:r>
            <w:proofErr w:type="spellEnd"/>
            <w:r>
              <w:rPr>
                <w:rFonts w:ascii="Times New Roman" w:eastAsia="Times New Roman" w:hAnsi="Times New Roman" w:cs="Times New Roman"/>
              </w:rPr>
              <w:t xml:space="preserve">. </w:t>
            </w:r>
          </w:p>
          <w:p w14:paraId="3D878203" w14:textId="77777777" w:rsidR="007C0FCE" w:rsidRDefault="00BB30B7">
            <w:pPr>
              <w:ind w:left="1"/>
            </w:pPr>
            <w:r>
              <w:rPr>
                <w:rFonts w:ascii="Times New Roman" w:eastAsia="Times New Roman" w:hAnsi="Times New Roman" w:cs="Times New Roman"/>
              </w:rPr>
              <w:t xml:space="preserve"> </w:t>
            </w:r>
          </w:p>
        </w:tc>
      </w:tr>
      <w:tr w:rsidR="00A12EFC" w14:paraId="6F3C009A" w14:textId="77777777">
        <w:trPr>
          <w:trHeight w:val="259"/>
        </w:trPr>
        <w:tc>
          <w:tcPr>
            <w:tcW w:w="9647" w:type="dxa"/>
            <w:gridSpan w:val="6"/>
            <w:tcBorders>
              <w:top w:val="single" w:sz="4" w:space="0" w:color="000000"/>
              <w:left w:val="single" w:sz="4" w:space="0" w:color="000000"/>
              <w:bottom w:val="single" w:sz="4" w:space="0" w:color="000000"/>
              <w:right w:val="single" w:sz="4" w:space="0" w:color="000000"/>
            </w:tcBorders>
            <w:shd w:val="clear" w:color="auto" w:fill="B3B3B3"/>
          </w:tcPr>
          <w:p w14:paraId="30DF86A3" w14:textId="77777777" w:rsidR="000C4783" w:rsidRPr="000C4783" w:rsidRDefault="000C4783" w:rsidP="000C4783">
            <w:pPr>
              <w:ind w:left="1"/>
              <w:rPr>
                <w:rFonts w:ascii="Times New Roman" w:hAnsi="Times New Roman" w:cs="Times New Roman"/>
                <w:b/>
                <w:bCs/>
              </w:rPr>
            </w:pPr>
            <w:r w:rsidRPr="000C4783">
              <w:rPr>
                <w:rFonts w:ascii="Times New Roman" w:hAnsi="Times New Roman" w:cs="Times New Roman"/>
                <w:b/>
                <w:bCs/>
              </w:rPr>
              <w:t>Special indication for the subject:</w:t>
            </w:r>
          </w:p>
          <w:p w14:paraId="3DB54C46" w14:textId="0A3CE1E0" w:rsidR="00A12EFC" w:rsidRDefault="000C4783" w:rsidP="000C4783">
            <w:pPr>
              <w:ind w:left="1"/>
            </w:pPr>
            <w:r>
              <w:t>​</w:t>
            </w:r>
          </w:p>
        </w:tc>
      </w:tr>
      <w:tr w:rsidR="007C0FCE" w14:paraId="74F11F96" w14:textId="77777777">
        <w:trPr>
          <w:trHeight w:val="267"/>
        </w:trPr>
        <w:tc>
          <w:tcPr>
            <w:tcW w:w="9647" w:type="dxa"/>
            <w:gridSpan w:val="6"/>
            <w:tcBorders>
              <w:top w:val="single" w:sz="4" w:space="0" w:color="000000"/>
              <w:left w:val="single" w:sz="4" w:space="0" w:color="000000"/>
              <w:bottom w:val="single" w:sz="4" w:space="0" w:color="000000"/>
              <w:right w:val="single" w:sz="4" w:space="0" w:color="000000"/>
            </w:tcBorders>
          </w:tcPr>
          <w:p w14:paraId="6BF018B7" w14:textId="77777777" w:rsidR="007C0FCE" w:rsidRDefault="00BB30B7">
            <w:pPr>
              <w:ind w:left="1"/>
            </w:pPr>
            <w:r>
              <w:rPr>
                <w:rFonts w:ascii="Times New Roman" w:eastAsia="Times New Roman" w:hAnsi="Times New Roman" w:cs="Times New Roman"/>
              </w:rPr>
              <w:t xml:space="preserve"> </w:t>
            </w:r>
          </w:p>
        </w:tc>
      </w:tr>
      <w:tr w:rsidR="00A12EFC" w14:paraId="2E1F4CA8" w14:textId="77777777">
        <w:trPr>
          <w:trHeight w:val="259"/>
        </w:trPr>
        <w:tc>
          <w:tcPr>
            <w:tcW w:w="9647" w:type="dxa"/>
            <w:gridSpan w:val="6"/>
            <w:tcBorders>
              <w:top w:val="single" w:sz="4" w:space="0" w:color="000000"/>
              <w:left w:val="single" w:sz="4" w:space="0" w:color="000000"/>
              <w:bottom w:val="single" w:sz="4" w:space="0" w:color="000000"/>
              <w:right w:val="single" w:sz="4" w:space="0" w:color="000000"/>
            </w:tcBorders>
            <w:shd w:val="clear" w:color="auto" w:fill="B3B3B3"/>
          </w:tcPr>
          <w:p w14:paraId="6155A81D" w14:textId="6E17C998" w:rsidR="00A12EFC" w:rsidRDefault="00A12EFC" w:rsidP="00A12EFC">
            <w:pPr>
              <w:ind w:left="1"/>
            </w:pPr>
            <w:r w:rsidRPr="00A06C44">
              <w:rPr>
                <w:rFonts w:ascii="Times New Roman" w:eastAsia="Times New Roman" w:hAnsi="Times New Roman" w:cs="Times New Roman"/>
                <w:b/>
                <w:sz w:val="24"/>
                <w:szCs w:val="24"/>
              </w:rPr>
              <w:t xml:space="preserve">Name and surname of the professor who prepared the data: </w:t>
            </w:r>
            <w:proofErr w:type="spellStart"/>
            <w:r w:rsidRPr="00A06C44">
              <w:rPr>
                <w:rFonts w:ascii="Times New Roman" w:eastAsia="Times New Roman" w:hAnsi="Times New Roman" w:cs="Times New Roman"/>
                <w:b/>
                <w:sz w:val="24"/>
                <w:szCs w:val="24"/>
              </w:rPr>
              <w:t>Sanja</w:t>
            </w:r>
            <w:proofErr w:type="spellEnd"/>
            <w:r w:rsidRPr="00A06C44">
              <w:rPr>
                <w:rFonts w:ascii="Times New Roman" w:eastAsia="Times New Roman" w:hAnsi="Times New Roman" w:cs="Times New Roman"/>
                <w:b/>
                <w:sz w:val="24"/>
                <w:szCs w:val="24"/>
              </w:rPr>
              <w:t xml:space="preserve"> </w:t>
            </w:r>
            <w:proofErr w:type="spellStart"/>
            <w:r w:rsidRPr="00A06C44">
              <w:rPr>
                <w:rFonts w:ascii="Times New Roman" w:eastAsia="Times New Roman" w:hAnsi="Times New Roman" w:cs="Times New Roman"/>
                <w:b/>
                <w:sz w:val="24"/>
                <w:szCs w:val="24"/>
              </w:rPr>
              <w:t>Josifović-Elezović</w:t>
            </w:r>
            <w:proofErr w:type="spellEnd"/>
          </w:p>
        </w:tc>
      </w:tr>
    </w:tbl>
    <w:p w14:paraId="01CCA6FF" w14:textId="77777777" w:rsidR="007C0FCE" w:rsidRDefault="00BB30B7">
      <w:pPr>
        <w:spacing w:after="0"/>
        <w:ind w:left="360"/>
        <w:jc w:val="both"/>
      </w:pPr>
      <w:r>
        <w:rPr>
          <w:rFonts w:ascii="Times New Roman" w:eastAsia="Times New Roman" w:hAnsi="Times New Roman" w:cs="Times New Roman"/>
          <w:b/>
          <w:sz w:val="28"/>
        </w:rPr>
        <w:t xml:space="preserve"> </w:t>
      </w:r>
    </w:p>
    <w:sectPr w:rsidR="007C0FC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DB25DF"/>
    <w:multiLevelType w:val="hybridMultilevel"/>
    <w:tmpl w:val="495CCE40"/>
    <w:lvl w:ilvl="0" w:tplc="E40E8CD2">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C0EBDEE">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3EEFD3E">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A2C1998">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0249E44">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14CFF4C">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FAA9336">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59C3218">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7869CA4">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DB017B6"/>
    <w:multiLevelType w:val="hybridMultilevel"/>
    <w:tmpl w:val="96F2597C"/>
    <w:lvl w:ilvl="0" w:tplc="576C5E74">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AA2FF56">
      <w:start w:val="1"/>
      <w:numFmt w:val="lowerLetter"/>
      <w:lvlText w:val="%2"/>
      <w:lvlJc w:val="left"/>
      <w:pPr>
        <w:ind w:left="1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BC08618">
      <w:start w:val="1"/>
      <w:numFmt w:val="lowerRoman"/>
      <w:lvlText w:val="%3"/>
      <w:lvlJc w:val="left"/>
      <w:pPr>
        <w:ind w:left="22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70C0200">
      <w:start w:val="1"/>
      <w:numFmt w:val="decimal"/>
      <w:lvlText w:val="%4"/>
      <w:lvlJc w:val="left"/>
      <w:pPr>
        <w:ind w:left="29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FE24866">
      <w:start w:val="1"/>
      <w:numFmt w:val="lowerLetter"/>
      <w:lvlText w:val="%5"/>
      <w:lvlJc w:val="left"/>
      <w:pPr>
        <w:ind w:left="37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E064258">
      <w:start w:val="1"/>
      <w:numFmt w:val="lowerRoman"/>
      <w:lvlText w:val="%6"/>
      <w:lvlJc w:val="left"/>
      <w:pPr>
        <w:ind w:left="4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D1EE850">
      <w:start w:val="1"/>
      <w:numFmt w:val="decimal"/>
      <w:lvlText w:val="%7"/>
      <w:lvlJc w:val="left"/>
      <w:pPr>
        <w:ind w:left="51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0129270">
      <w:start w:val="1"/>
      <w:numFmt w:val="lowerLetter"/>
      <w:lvlText w:val="%8"/>
      <w:lvlJc w:val="left"/>
      <w:pPr>
        <w:ind w:left="58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87E030C">
      <w:start w:val="1"/>
      <w:numFmt w:val="lowerRoman"/>
      <w:lvlText w:val="%9"/>
      <w:lvlJc w:val="left"/>
      <w:pPr>
        <w:ind w:left="65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FCE"/>
    <w:rsid w:val="000C4783"/>
    <w:rsid w:val="007470AB"/>
    <w:rsid w:val="007C0FCE"/>
    <w:rsid w:val="00A12EFC"/>
    <w:rsid w:val="00BB30B7"/>
    <w:rsid w:val="00C73D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DBD5A"/>
  <w15:docId w15:val="{34C9334C-16BF-4D3B-A36A-18114CE47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postl2.ecml.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postl2.ecml.at/"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785</Words>
  <Characters>4476</Characters>
  <Application>Microsoft Office Word</Application>
  <DocSecurity>0</DocSecurity>
  <Lines>37</Lines>
  <Paragraphs>10</Paragraphs>
  <ScaleCrop>false</ScaleCrop>
  <Company/>
  <LinksUpToDate>false</LinksUpToDate>
  <CharactersWithSpaces>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cp:lastModifiedBy>Terra</cp:lastModifiedBy>
  <cp:revision>6</cp:revision>
  <dcterms:created xsi:type="dcterms:W3CDTF">2024-02-14T20:56:00Z</dcterms:created>
  <dcterms:modified xsi:type="dcterms:W3CDTF">2024-02-18T23:49:00Z</dcterms:modified>
</cp:coreProperties>
</file>