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389" w:type="dxa"/>
        <w:tblCellMar>
          <w:top w:w="109" w:type="dxa"/>
          <w:left w:w="78" w:type="dxa"/>
          <w:bottom w:w="28" w:type="dxa"/>
          <w:right w:w="114" w:type="dxa"/>
        </w:tblCellMar>
        <w:tblLook w:val="04A0" w:firstRow="1" w:lastRow="0" w:firstColumn="1" w:lastColumn="0" w:noHBand="0" w:noVBand="1"/>
      </w:tblPr>
      <w:tblGrid>
        <w:gridCol w:w="2450"/>
        <w:gridCol w:w="7198"/>
      </w:tblGrid>
      <w:tr w:rsidR="008643B3" w14:paraId="1A07C163" w14:textId="77777777">
        <w:trPr>
          <w:trHeight w:val="1383"/>
        </w:trPr>
        <w:tc>
          <w:tcPr>
            <w:tcW w:w="2450" w:type="dxa"/>
            <w:tcBorders>
              <w:top w:val="single" w:sz="4" w:space="0" w:color="000000"/>
              <w:left w:val="single" w:sz="4" w:space="0" w:color="000000"/>
              <w:bottom w:val="single" w:sz="4" w:space="0" w:color="000000"/>
              <w:right w:val="nil"/>
            </w:tcBorders>
            <w:vAlign w:val="bottom"/>
          </w:tcPr>
          <w:p w14:paraId="4B31E0BE" w14:textId="77777777" w:rsidR="008643B3" w:rsidRDefault="001A60A9">
            <w:pPr>
              <w:ind w:left="96"/>
              <w:jc w:val="center"/>
            </w:pPr>
            <w:r>
              <w:rPr>
                <w:noProof/>
              </w:rPr>
              <w:drawing>
                <wp:inline distT="0" distB="0" distL="0" distR="0" wp14:anchorId="0EBBA717" wp14:editId="5005CE5C">
                  <wp:extent cx="727075" cy="7270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27075" cy="727075"/>
                          </a:xfrm>
                          <a:prstGeom prst="rect">
                            <a:avLst/>
                          </a:prstGeom>
                        </pic:spPr>
                      </pic:pic>
                    </a:graphicData>
                  </a:graphic>
                </wp:inline>
              </w:drawing>
            </w:r>
            <w:r>
              <w:rPr>
                <w:rFonts w:ascii="Times New Roman" w:eastAsia="Times New Roman" w:hAnsi="Times New Roman" w:cs="Times New Roman"/>
                <w:sz w:val="26"/>
              </w:rPr>
              <w:t xml:space="preserve"> </w:t>
            </w:r>
          </w:p>
        </w:tc>
        <w:tc>
          <w:tcPr>
            <w:tcW w:w="7199" w:type="dxa"/>
            <w:tcBorders>
              <w:top w:val="single" w:sz="4" w:space="0" w:color="000000"/>
              <w:left w:val="nil"/>
              <w:bottom w:val="single" w:sz="4" w:space="0" w:color="000000"/>
              <w:right w:val="single" w:sz="4" w:space="0" w:color="000000"/>
            </w:tcBorders>
            <w:vAlign w:val="center"/>
          </w:tcPr>
          <w:p w14:paraId="738AA98C" w14:textId="0CF19597" w:rsidR="00F954FF" w:rsidRPr="005E1077" w:rsidRDefault="00F954FF" w:rsidP="00F954FF">
            <w:pPr>
              <w:ind w:left="1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E1077">
              <w:rPr>
                <w:rFonts w:ascii="Times New Roman" w:eastAsia="Times New Roman" w:hAnsi="Times New Roman" w:cs="Times New Roman"/>
                <w:b/>
                <w:sz w:val="24"/>
                <w:szCs w:val="24"/>
              </w:rPr>
              <w:t>UNIVERSITY OF BANJA LUKA</w:t>
            </w:r>
          </w:p>
          <w:p w14:paraId="29974444" w14:textId="77777777" w:rsidR="00F954FF" w:rsidRPr="005E1077" w:rsidRDefault="00F954FF" w:rsidP="00F954FF">
            <w:pPr>
              <w:ind w:left="1110"/>
              <w:rPr>
                <w:rFonts w:ascii="Times New Roman" w:eastAsia="Times New Roman" w:hAnsi="Times New Roman" w:cs="Times New Roman"/>
                <w:b/>
                <w:sz w:val="24"/>
                <w:szCs w:val="24"/>
              </w:rPr>
            </w:pPr>
            <w:r w:rsidRPr="005E1077">
              <w:rPr>
                <w:rFonts w:ascii="Times New Roman" w:eastAsia="Times New Roman" w:hAnsi="Times New Roman" w:cs="Times New Roman"/>
                <w:b/>
                <w:sz w:val="24"/>
                <w:szCs w:val="24"/>
              </w:rPr>
              <w:t xml:space="preserve"> </w:t>
            </w:r>
          </w:p>
          <w:p w14:paraId="5387C119" w14:textId="2B22A777" w:rsidR="008643B3" w:rsidRDefault="00F954FF" w:rsidP="00F954FF">
            <w:pPr>
              <w:ind w:left="660" w:right="1050" w:hanging="288"/>
            </w:pPr>
            <w:r w:rsidRPr="005E1077">
              <w:rPr>
                <w:rFonts w:ascii="Times New Roman" w:eastAsia="Times New Roman" w:hAnsi="Times New Roman" w:cs="Times New Roman"/>
                <w:b/>
                <w:sz w:val="24"/>
                <w:szCs w:val="24"/>
              </w:rPr>
              <w:t xml:space="preserve">                    FACULTY OF PHILOLOGY</w:t>
            </w:r>
            <w:r w:rsidR="001A60A9">
              <w:rPr>
                <w:rFonts w:ascii="Times New Roman" w:eastAsia="Times New Roman" w:hAnsi="Times New Roman" w:cs="Times New Roman"/>
                <w:sz w:val="40"/>
                <w:vertAlign w:val="superscript"/>
              </w:rPr>
              <w:tab/>
            </w:r>
            <w:r w:rsidR="001A60A9">
              <w:rPr>
                <w:rFonts w:ascii="Times New Roman" w:eastAsia="Times New Roman" w:hAnsi="Times New Roman" w:cs="Times New Roman"/>
                <w:sz w:val="26"/>
              </w:rPr>
              <w:t xml:space="preserve"> </w:t>
            </w:r>
          </w:p>
        </w:tc>
      </w:tr>
      <w:tr w:rsidR="008643B3" w14:paraId="5894183B" w14:textId="77777777">
        <w:trPr>
          <w:trHeight w:val="502"/>
        </w:trPr>
        <w:tc>
          <w:tcPr>
            <w:tcW w:w="2450" w:type="dxa"/>
            <w:tcBorders>
              <w:top w:val="single" w:sz="4" w:space="0" w:color="000000"/>
              <w:left w:val="single" w:sz="4" w:space="0" w:color="000000"/>
              <w:bottom w:val="single" w:sz="4" w:space="0" w:color="000000"/>
              <w:right w:val="nil"/>
            </w:tcBorders>
          </w:tcPr>
          <w:p w14:paraId="3692BC9F" w14:textId="77777777" w:rsidR="008643B3" w:rsidRDefault="008643B3"/>
        </w:tc>
        <w:tc>
          <w:tcPr>
            <w:tcW w:w="7199" w:type="dxa"/>
            <w:tcBorders>
              <w:top w:val="single" w:sz="4" w:space="0" w:color="000000"/>
              <w:left w:val="nil"/>
              <w:bottom w:val="single" w:sz="4" w:space="0" w:color="000000"/>
              <w:right w:val="single" w:sz="4" w:space="0" w:color="000000"/>
            </w:tcBorders>
            <w:vAlign w:val="center"/>
          </w:tcPr>
          <w:p w14:paraId="365AE871" w14:textId="748AA88B" w:rsidR="008643B3" w:rsidRDefault="00F954FF">
            <w:pPr>
              <w:ind w:left="674"/>
            </w:pPr>
            <w:r w:rsidRPr="005E1077">
              <w:rPr>
                <w:rFonts w:ascii="Times New Roman" w:eastAsia="Times New Roman" w:hAnsi="Times New Roman" w:cs="Times New Roman"/>
                <w:b/>
                <w:sz w:val="24"/>
                <w:szCs w:val="24"/>
              </w:rPr>
              <w:t>Graduate academic studies</w:t>
            </w:r>
          </w:p>
        </w:tc>
      </w:tr>
      <w:tr w:rsidR="008643B3" w14:paraId="1D6663ED" w14:textId="77777777">
        <w:trPr>
          <w:trHeight w:val="706"/>
        </w:trPr>
        <w:tc>
          <w:tcPr>
            <w:tcW w:w="2450" w:type="dxa"/>
            <w:tcBorders>
              <w:top w:val="single" w:sz="4" w:space="0" w:color="000000"/>
              <w:left w:val="single" w:sz="4" w:space="0" w:color="000000"/>
              <w:bottom w:val="single" w:sz="4" w:space="0" w:color="000000"/>
              <w:right w:val="single" w:sz="4" w:space="0" w:color="000000"/>
            </w:tcBorders>
          </w:tcPr>
          <w:p w14:paraId="44727FD3" w14:textId="37A9E809" w:rsidR="008643B3" w:rsidRDefault="00F954FF">
            <w:pPr>
              <w:ind w:left="1"/>
              <w:jc w:val="both"/>
            </w:pPr>
            <w:r w:rsidRPr="005E1077">
              <w:rPr>
                <w:rFonts w:ascii="Times New Roman" w:eastAsia="Times New Roman" w:hAnsi="Times New Roman" w:cs="Times New Roman"/>
                <w:b/>
                <w:sz w:val="24"/>
                <w:szCs w:val="24"/>
              </w:rPr>
              <w:t>Study program</w:t>
            </w:r>
            <w:r w:rsidR="001A60A9">
              <w:rPr>
                <w:rFonts w:ascii="Times New Roman" w:eastAsia="Times New Roman" w:hAnsi="Times New Roman" w:cs="Times New Roman"/>
                <w:b/>
                <w:sz w:val="24"/>
              </w:rPr>
              <w:t>:</w:t>
            </w:r>
            <w:r w:rsidR="001A60A9">
              <w:rPr>
                <w:rFonts w:ascii="Times New Roman" w:eastAsia="Times New Roman" w:hAnsi="Times New Roman" w:cs="Times New Roman"/>
                <w:sz w:val="26"/>
              </w:rPr>
              <w:t xml:space="preserve"> </w:t>
            </w:r>
          </w:p>
        </w:tc>
        <w:tc>
          <w:tcPr>
            <w:tcW w:w="7199" w:type="dxa"/>
            <w:tcBorders>
              <w:top w:val="single" w:sz="4" w:space="0" w:color="000000"/>
              <w:left w:val="single" w:sz="4" w:space="0" w:color="000000"/>
              <w:bottom w:val="single" w:sz="4" w:space="0" w:color="000000"/>
              <w:right w:val="single" w:sz="4" w:space="0" w:color="000000"/>
            </w:tcBorders>
            <w:shd w:val="clear" w:color="auto" w:fill="B3B3B3"/>
          </w:tcPr>
          <w:p w14:paraId="779EAD2C" w14:textId="095C3D6F" w:rsidR="008643B3" w:rsidRDefault="007D5B55">
            <w:r>
              <w:rPr>
                <w:rFonts w:ascii="Times New Roman" w:eastAsia="Times New Roman" w:hAnsi="Times New Roman" w:cs="Times New Roman"/>
                <w:b/>
                <w:sz w:val="24"/>
              </w:rPr>
              <w:t>Master</w:t>
            </w:r>
            <w:bookmarkStart w:id="0" w:name="_GoBack"/>
            <w:bookmarkEnd w:id="0"/>
            <w:r w:rsidR="00F954FF" w:rsidRPr="00F954FF">
              <w:rPr>
                <w:rFonts w:ascii="Times New Roman" w:eastAsia="Times New Roman" w:hAnsi="Times New Roman" w:cs="Times New Roman"/>
                <w:b/>
                <w:sz w:val="24"/>
              </w:rPr>
              <w:t xml:space="preserve"> study - Methodology of language and literature teaching</w:t>
            </w:r>
          </w:p>
        </w:tc>
      </w:tr>
    </w:tbl>
    <w:p w14:paraId="7C144726" w14:textId="77777777" w:rsidR="008643B3" w:rsidRDefault="001A60A9">
      <w:pPr>
        <w:spacing w:after="0"/>
        <w:ind w:left="360"/>
        <w:jc w:val="both"/>
      </w:pPr>
      <w:r>
        <w:rPr>
          <w:rFonts w:ascii="Times New Roman" w:eastAsia="Times New Roman" w:hAnsi="Times New Roman" w:cs="Times New Roman"/>
          <w:sz w:val="26"/>
        </w:rPr>
        <w:t xml:space="preserve"> </w:t>
      </w:r>
    </w:p>
    <w:p w14:paraId="30FA64A8" w14:textId="77777777" w:rsidR="008643B3" w:rsidRDefault="001A60A9">
      <w:pPr>
        <w:spacing w:after="0"/>
        <w:ind w:left="360"/>
        <w:jc w:val="both"/>
      </w:pPr>
      <w:r>
        <w:rPr>
          <w:rFonts w:ascii="Times New Roman" w:eastAsia="Times New Roman" w:hAnsi="Times New Roman" w:cs="Times New Roman"/>
          <w:sz w:val="26"/>
        </w:rPr>
        <w:t xml:space="preserve"> </w:t>
      </w:r>
    </w:p>
    <w:tbl>
      <w:tblPr>
        <w:tblStyle w:val="TableGrid"/>
        <w:tblW w:w="9647" w:type="dxa"/>
        <w:tblInd w:w="390" w:type="dxa"/>
        <w:tblCellMar>
          <w:top w:w="70" w:type="dxa"/>
          <w:left w:w="78" w:type="dxa"/>
          <w:right w:w="26" w:type="dxa"/>
        </w:tblCellMar>
        <w:tblLook w:val="04A0" w:firstRow="1" w:lastRow="0" w:firstColumn="1" w:lastColumn="0" w:noHBand="0" w:noVBand="1"/>
      </w:tblPr>
      <w:tblGrid>
        <w:gridCol w:w="1847"/>
        <w:gridCol w:w="1851"/>
        <w:gridCol w:w="1630"/>
        <w:gridCol w:w="1620"/>
        <w:gridCol w:w="2699"/>
      </w:tblGrid>
      <w:tr w:rsidR="008643B3" w14:paraId="45D9E600" w14:textId="77777777">
        <w:trPr>
          <w:trHeight w:val="587"/>
        </w:trPr>
        <w:tc>
          <w:tcPr>
            <w:tcW w:w="1847" w:type="dxa"/>
            <w:tcBorders>
              <w:top w:val="single" w:sz="4" w:space="0" w:color="000000"/>
              <w:left w:val="single" w:sz="4" w:space="0" w:color="000000"/>
              <w:bottom w:val="single" w:sz="4" w:space="0" w:color="000000"/>
              <w:right w:val="single" w:sz="4" w:space="0" w:color="000000"/>
            </w:tcBorders>
          </w:tcPr>
          <w:p w14:paraId="10F45195" w14:textId="6C5D19DF" w:rsidR="008643B3" w:rsidRDefault="00F954FF">
            <w:pPr>
              <w:jc w:val="both"/>
            </w:pPr>
            <w:r w:rsidRPr="005E1077">
              <w:rPr>
                <w:rFonts w:ascii="Times New Roman" w:eastAsia="Times New Roman" w:hAnsi="Times New Roman" w:cs="Times New Roman"/>
                <w:b/>
                <w:sz w:val="24"/>
                <w:szCs w:val="24"/>
              </w:rPr>
              <w:t>Subject</w:t>
            </w:r>
          </w:p>
        </w:tc>
        <w:tc>
          <w:tcPr>
            <w:tcW w:w="3481" w:type="dxa"/>
            <w:gridSpan w:val="2"/>
            <w:tcBorders>
              <w:top w:val="single" w:sz="4" w:space="0" w:color="000000"/>
              <w:left w:val="single" w:sz="4" w:space="0" w:color="000000"/>
              <w:bottom w:val="single" w:sz="4" w:space="0" w:color="000000"/>
              <w:right w:val="nil"/>
            </w:tcBorders>
            <w:shd w:val="clear" w:color="auto" w:fill="B3B3B3"/>
          </w:tcPr>
          <w:p w14:paraId="07EA7EB9" w14:textId="6D707CE5" w:rsidR="008643B3" w:rsidRDefault="00F954FF">
            <w:pPr>
              <w:ind w:left="1"/>
            </w:pPr>
            <w:r w:rsidRPr="00F954FF">
              <w:rPr>
                <w:rFonts w:ascii="Times New Roman" w:eastAsia="Times New Roman" w:hAnsi="Times New Roman" w:cs="Times New Roman"/>
                <w:b/>
              </w:rPr>
              <w:t>Innovations in language teaching</w:t>
            </w:r>
          </w:p>
        </w:tc>
        <w:tc>
          <w:tcPr>
            <w:tcW w:w="1620" w:type="dxa"/>
            <w:tcBorders>
              <w:top w:val="single" w:sz="4" w:space="0" w:color="000000"/>
              <w:left w:val="nil"/>
              <w:bottom w:val="single" w:sz="4" w:space="0" w:color="000000"/>
              <w:right w:val="nil"/>
            </w:tcBorders>
            <w:shd w:val="clear" w:color="auto" w:fill="B3B3B3"/>
          </w:tcPr>
          <w:p w14:paraId="4A0C3E85" w14:textId="77777777" w:rsidR="008643B3" w:rsidRDefault="008643B3"/>
        </w:tc>
        <w:tc>
          <w:tcPr>
            <w:tcW w:w="2699" w:type="dxa"/>
            <w:tcBorders>
              <w:top w:val="single" w:sz="4" w:space="0" w:color="000000"/>
              <w:left w:val="nil"/>
              <w:bottom w:val="single" w:sz="4" w:space="0" w:color="000000"/>
              <w:right w:val="single" w:sz="4" w:space="0" w:color="000000"/>
            </w:tcBorders>
            <w:shd w:val="clear" w:color="auto" w:fill="B3B3B3"/>
          </w:tcPr>
          <w:p w14:paraId="52C760D0" w14:textId="77777777" w:rsidR="008643B3" w:rsidRDefault="008643B3"/>
        </w:tc>
      </w:tr>
      <w:tr w:rsidR="00F954FF" w14:paraId="4BDE9921" w14:textId="77777777" w:rsidTr="00264255">
        <w:trPr>
          <w:trHeight w:val="709"/>
        </w:trPr>
        <w:tc>
          <w:tcPr>
            <w:tcW w:w="1847" w:type="dxa"/>
            <w:tcBorders>
              <w:top w:val="single" w:sz="4" w:space="0" w:color="000000"/>
              <w:left w:val="single" w:sz="4" w:space="0" w:color="000000"/>
              <w:bottom w:val="single" w:sz="4" w:space="0" w:color="000000"/>
              <w:right w:val="single" w:sz="4" w:space="0" w:color="000000"/>
            </w:tcBorders>
          </w:tcPr>
          <w:p w14:paraId="295304DF" w14:textId="6C862620" w:rsidR="00F954FF" w:rsidRDefault="00F954FF" w:rsidP="00F954FF">
            <w:r>
              <w:rPr>
                <w:rFonts w:ascii="Times New Roman" w:eastAsia="Times New Roman" w:hAnsi="Times New Roman" w:cs="Times New Roman"/>
                <w:b/>
              </w:rPr>
              <w:t>Subject code</w:t>
            </w:r>
          </w:p>
        </w:tc>
        <w:tc>
          <w:tcPr>
            <w:tcW w:w="1851" w:type="dxa"/>
            <w:tcBorders>
              <w:top w:val="single" w:sz="4" w:space="0" w:color="000000"/>
              <w:left w:val="single" w:sz="4" w:space="0" w:color="000000"/>
              <w:bottom w:val="single" w:sz="4" w:space="0" w:color="000000"/>
              <w:right w:val="single" w:sz="4" w:space="0" w:color="000000"/>
            </w:tcBorders>
          </w:tcPr>
          <w:p w14:paraId="70EEB03B" w14:textId="1CDCFC60" w:rsidR="00F954FF" w:rsidRDefault="00F954FF" w:rsidP="00F954FF">
            <w:pPr>
              <w:ind w:left="11"/>
              <w:jc w:val="both"/>
            </w:pPr>
            <w:r w:rsidRPr="005E1077">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0FEBC3BE" w14:textId="4CC8E81C" w:rsidR="00F954FF" w:rsidRDefault="00F954FF" w:rsidP="00F954FF">
            <w:pPr>
              <w:ind w:right="50"/>
              <w:jc w:val="center"/>
            </w:pPr>
            <w:r w:rsidRPr="005E1077">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62C110AF" w14:textId="2BBF57C4" w:rsidR="00F954FF" w:rsidRDefault="00F954FF" w:rsidP="00F954FF">
            <w:pPr>
              <w:ind w:left="100"/>
            </w:pPr>
            <w:r w:rsidRPr="005E1077">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23AA006A" w14:textId="4026E023" w:rsidR="00F954FF" w:rsidRDefault="00F954FF" w:rsidP="00F954FF">
            <w:pPr>
              <w:ind w:right="50"/>
              <w:jc w:val="center"/>
            </w:pPr>
            <w:r w:rsidRPr="005E1077">
              <w:rPr>
                <w:rFonts w:ascii="Times New Roman" w:eastAsia="Times New Roman" w:hAnsi="Times New Roman" w:cs="Times New Roman"/>
                <w:b/>
                <w:sz w:val="24"/>
                <w:szCs w:val="24"/>
              </w:rPr>
              <w:t xml:space="preserve">Number of </w:t>
            </w:r>
            <w:proofErr w:type="spellStart"/>
            <w:r w:rsidRPr="005E1077">
              <w:rPr>
                <w:rFonts w:ascii="Times New Roman" w:eastAsia="Times New Roman" w:hAnsi="Times New Roman" w:cs="Times New Roman"/>
                <w:b/>
                <w:sz w:val="24"/>
                <w:szCs w:val="24"/>
              </w:rPr>
              <w:t>ECTS</w:t>
            </w:r>
            <w:proofErr w:type="spellEnd"/>
            <w:r w:rsidRPr="005E1077">
              <w:rPr>
                <w:rFonts w:ascii="Times New Roman" w:eastAsia="Times New Roman" w:hAnsi="Times New Roman" w:cs="Times New Roman"/>
                <w:b/>
                <w:sz w:val="24"/>
                <w:szCs w:val="24"/>
              </w:rPr>
              <w:t xml:space="preserve"> credits</w:t>
            </w:r>
          </w:p>
        </w:tc>
      </w:tr>
      <w:tr w:rsidR="008643B3" w14:paraId="5BBFF457" w14:textId="77777777">
        <w:trPr>
          <w:trHeight w:val="424"/>
        </w:trPr>
        <w:tc>
          <w:tcPr>
            <w:tcW w:w="1847" w:type="dxa"/>
            <w:tcBorders>
              <w:top w:val="single" w:sz="4" w:space="0" w:color="000000"/>
              <w:left w:val="single" w:sz="4" w:space="0" w:color="000000"/>
              <w:bottom w:val="single" w:sz="4" w:space="0" w:color="000000"/>
              <w:right w:val="single" w:sz="4" w:space="0" w:color="000000"/>
            </w:tcBorders>
          </w:tcPr>
          <w:p w14:paraId="35A570CA" w14:textId="68FA7AFE" w:rsidR="008643B3" w:rsidRDefault="00F954FF">
            <w:proofErr w:type="spellStart"/>
            <w:r>
              <w:rPr>
                <w:rFonts w:ascii="Times New Roman" w:eastAsia="Times New Roman" w:hAnsi="Times New Roman" w:cs="Times New Roman"/>
              </w:rPr>
              <w:t>INJ</w:t>
            </w:r>
            <w:proofErr w:type="spellEnd"/>
            <w:r w:rsidR="001A60A9">
              <w:rPr>
                <w:rFonts w:ascii="Times New Roman" w:eastAsia="Times New Roman" w:hAnsi="Times New Roman" w:cs="Times New Roman"/>
                <w:sz w:val="26"/>
              </w:rP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26E4BB25" w14:textId="77777777" w:rsidR="008643B3" w:rsidRDefault="001A60A9">
            <w:pPr>
              <w:ind w:right="52"/>
              <w:jc w:val="center"/>
            </w:pPr>
            <w:r>
              <w:rPr>
                <w:rFonts w:ascii="Times New Roman" w:eastAsia="Times New Roman" w:hAnsi="Times New Roman" w:cs="Times New Roman"/>
              </w:rPr>
              <w:t>O</w:t>
            </w:r>
            <w:r>
              <w:rPr>
                <w:rFonts w:ascii="Times New Roman" w:eastAsia="Times New Roman" w:hAnsi="Times New Roman" w:cs="Times New Roman"/>
                <w:sz w:val="26"/>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FEC320A" w14:textId="77777777" w:rsidR="008643B3" w:rsidRDefault="001A60A9">
            <w:pPr>
              <w:ind w:right="53"/>
              <w:jc w:val="center"/>
            </w:pPr>
            <w:r>
              <w:rPr>
                <w:rFonts w:ascii="Times New Roman" w:eastAsia="Times New Roman" w:hAnsi="Times New Roman" w:cs="Times New Roman"/>
              </w:rPr>
              <w:t>I</w:t>
            </w:r>
            <w:r>
              <w:rPr>
                <w:rFonts w:ascii="Times New Roman" w:eastAsia="Times New Roman" w:hAnsi="Times New Roman" w:cs="Times New Roman"/>
                <w:sz w:val="2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487AEF" w14:textId="77777777" w:rsidR="008643B3" w:rsidRDefault="001A60A9">
            <w:pPr>
              <w:ind w:right="54"/>
              <w:jc w:val="center"/>
            </w:pPr>
            <w:r>
              <w:rPr>
                <w:rFonts w:ascii="Times New Roman" w:eastAsia="Times New Roman" w:hAnsi="Times New Roman" w:cs="Times New Roman"/>
              </w:rPr>
              <w:t>2+2</w:t>
            </w:r>
            <w:r>
              <w:rPr>
                <w:rFonts w:ascii="Times New Roman" w:eastAsia="Times New Roman" w:hAnsi="Times New Roman" w:cs="Times New Roman"/>
                <w:sz w:val="26"/>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5EA0D95F" w14:textId="77777777" w:rsidR="008643B3" w:rsidRDefault="001A60A9">
            <w:pPr>
              <w:ind w:right="52"/>
              <w:jc w:val="center"/>
            </w:pPr>
            <w:r>
              <w:rPr>
                <w:rFonts w:ascii="Times New Roman" w:eastAsia="Times New Roman" w:hAnsi="Times New Roman" w:cs="Times New Roman"/>
              </w:rPr>
              <w:t>5</w:t>
            </w:r>
            <w:r>
              <w:rPr>
                <w:rFonts w:ascii="Times New Roman" w:eastAsia="Times New Roman" w:hAnsi="Times New Roman" w:cs="Times New Roman"/>
                <w:sz w:val="26"/>
              </w:rPr>
              <w:t xml:space="preserve"> </w:t>
            </w:r>
          </w:p>
        </w:tc>
      </w:tr>
      <w:tr w:rsidR="008643B3" w14:paraId="6E40B5FC" w14:textId="77777777">
        <w:trPr>
          <w:trHeight w:val="382"/>
        </w:trPr>
        <w:tc>
          <w:tcPr>
            <w:tcW w:w="1847" w:type="dxa"/>
            <w:tcBorders>
              <w:top w:val="single" w:sz="4" w:space="0" w:color="000000"/>
              <w:left w:val="single" w:sz="4" w:space="0" w:color="000000"/>
              <w:bottom w:val="single" w:sz="4" w:space="0" w:color="000000"/>
              <w:right w:val="single" w:sz="4" w:space="0" w:color="000000"/>
            </w:tcBorders>
            <w:shd w:val="clear" w:color="auto" w:fill="B3B3B3"/>
          </w:tcPr>
          <w:p w14:paraId="6E0D9DD8" w14:textId="6F0B8348" w:rsidR="008643B3" w:rsidRDefault="00F954FF">
            <w:r>
              <w:rPr>
                <w:rFonts w:ascii="Times New Roman" w:eastAsia="Times New Roman" w:hAnsi="Times New Roman" w:cs="Times New Roman"/>
                <w:b/>
              </w:rPr>
              <w:t>Professor</w:t>
            </w:r>
          </w:p>
        </w:tc>
        <w:tc>
          <w:tcPr>
            <w:tcW w:w="3481" w:type="dxa"/>
            <w:gridSpan w:val="2"/>
            <w:tcBorders>
              <w:top w:val="single" w:sz="4" w:space="0" w:color="000000"/>
              <w:left w:val="single" w:sz="4" w:space="0" w:color="000000"/>
              <w:bottom w:val="single" w:sz="4" w:space="0" w:color="000000"/>
              <w:right w:val="nil"/>
            </w:tcBorders>
          </w:tcPr>
          <w:p w14:paraId="1B6D6B6C" w14:textId="15D4655E" w:rsidR="008643B3" w:rsidRDefault="00F954FF">
            <w:pPr>
              <w:ind w:left="1"/>
            </w:pPr>
            <w:r w:rsidRPr="00F954FF">
              <w:rPr>
                <w:rFonts w:ascii="Times New Roman" w:eastAsia="Times New Roman" w:hAnsi="Times New Roman" w:cs="Times New Roman"/>
              </w:rPr>
              <w:t xml:space="preserve">prof. Dr. </w:t>
            </w:r>
            <w:proofErr w:type="spellStart"/>
            <w:r w:rsidRPr="00F954FF">
              <w:rPr>
                <w:rFonts w:ascii="Times New Roman" w:eastAsia="Times New Roman" w:hAnsi="Times New Roman" w:cs="Times New Roman"/>
              </w:rPr>
              <w:t>Željka</w:t>
            </w:r>
            <w:proofErr w:type="spellEnd"/>
            <w:r w:rsidRPr="00F954FF">
              <w:rPr>
                <w:rFonts w:ascii="Times New Roman" w:eastAsia="Times New Roman" w:hAnsi="Times New Roman" w:cs="Times New Roman"/>
              </w:rPr>
              <w:t xml:space="preserve"> </w:t>
            </w:r>
            <w:proofErr w:type="spellStart"/>
            <w:r w:rsidRPr="00F954FF">
              <w:rPr>
                <w:rFonts w:ascii="Times New Roman" w:eastAsia="Times New Roman" w:hAnsi="Times New Roman" w:cs="Times New Roman"/>
              </w:rPr>
              <w:t>Babić</w:t>
            </w:r>
            <w:proofErr w:type="spellEnd"/>
          </w:p>
        </w:tc>
        <w:tc>
          <w:tcPr>
            <w:tcW w:w="1620" w:type="dxa"/>
            <w:tcBorders>
              <w:top w:val="single" w:sz="4" w:space="0" w:color="000000"/>
              <w:left w:val="nil"/>
              <w:bottom w:val="single" w:sz="4" w:space="0" w:color="000000"/>
              <w:right w:val="nil"/>
            </w:tcBorders>
          </w:tcPr>
          <w:p w14:paraId="4FBEBCC4" w14:textId="77777777" w:rsidR="008643B3" w:rsidRDefault="008643B3"/>
        </w:tc>
        <w:tc>
          <w:tcPr>
            <w:tcW w:w="2699" w:type="dxa"/>
            <w:tcBorders>
              <w:top w:val="single" w:sz="4" w:space="0" w:color="000000"/>
              <w:left w:val="nil"/>
              <w:bottom w:val="single" w:sz="4" w:space="0" w:color="000000"/>
              <w:right w:val="single" w:sz="4" w:space="0" w:color="000000"/>
            </w:tcBorders>
          </w:tcPr>
          <w:p w14:paraId="635C7D53" w14:textId="77777777" w:rsidR="008643B3" w:rsidRDefault="008643B3"/>
        </w:tc>
      </w:tr>
    </w:tbl>
    <w:p w14:paraId="439286C6" w14:textId="77777777" w:rsidR="008643B3" w:rsidRDefault="001A60A9">
      <w:pPr>
        <w:spacing w:after="0"/>
        <w:ind w:left="360" w:right="8935"/>
        <w:jc w:val="both"/>
      </w:pP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p>
    <w:tbl>
      <w:tblPr>
        <w:tblStyle w:val="TableGrid"/>
        <w:tblW w:w="9647" w:type="dxa"/>
        <w:tblInd w:w="390" w:type="dxa"/>
        <w:tblCellMar>
          <w:top w:w="94" w:type="dxa"/>
          <w:left w:w="78" w:type="dxa"/>
          <w:right w:w="371" w:type="dxa"/>
        </w:tblCellMar>
        <w:tblLook w:val="04A0" w:firstRow="1" w:lastRow="0" w:firstColumn="1" w:lastColumn="0" w:noHBand="0" w:noVBand="1"/>
      </w:tblPr>
      <w:tblGrid>
        <w:gridCol w:w="9647"/>
      </w:tblGrid>
      <w:tr w:rsidR="00F954FF" w14:paraId="7C937269" w14:textId="77777777">
        <w:trPr>
          <w:trHeight w:val="37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67492814" w14:textId="2F547EA3" w:rsidR="00F954FF" w:rsidRDefault="00F954FF" w:rsidP="00F954FF">
            <w:r w:rsidRPr="005E1077">
              <w:rPr>
                <w:rFonts w:ascii="Times New Roman" w:eastAsia="Times New Roman" w:hAnsi="Times New Roman" w:cs="Times New Roman"/>
                <w:b/>
                <w:sz w:val="24"/>
                <w:szCs w:val="24"/>
              </w:rPr>
              <w:t>Conditioned by other subjects</w:t>
            </w:r>
          </w:p>
        </w:tc>
      </w:tr>
      <w:tr w:rsidR="00F954FF" w14:paraId="6FEB46E3" w14:textId="77777777" w:rsidTr="00997FF2">
        <w:trPr>
          <w:trHeight w:val="505"/>
        </w:trPr>
        <w:tc>
          <w:tcPr>
            <w:tcW w:w="9647" w:type="dxa"/>
            <w:tcBorders>
              <w:top w:val="single" w:sz="4" w:space="0" w:color="000000"/>
              <w:left w:val="single" w:sz="4" w:space="0" w:color="000000"/>
              <w:bottom w:val="single" w:sz="33" w:space="0" w:color="B3B3B3"/>
              <w:right w:val="single" w:sz="4" w:space="0" w:color="000000"/>
            </w:tcBorders>
          </w:tcPr>
          <w:p w14:paraId="3F991C9B" w14:textId="155D1FFE" w:rsidR="00F954FF" w:rsidRDefault="00F954FF" w:rsidP="00F954FF">
            <w:r w:rsidRPr="005E1077">
              <w:rPr>
                <w:rFonts w:ascii="Times New Roman" w:eastAsia="Times New Roman" w:hAnsi="Times New Roman" w:cs="Times New Roman"/>
                <w:sz w:val="24"/>
                <w:szCs w:val="24"/>
              </w:rPr>
              <w:t>It is not conditioned by other subjects.</w:t>
            </w:r>
          </w:p>
        </w:tc>
      </w:tr>
      <w:tr w:rsidR="00F954FF" w14:paraId="430132DF"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300B77D7" w14:textId="250C1604" w:rsidR="00F954FF" w:rsidRDefault="00F954FF" w:rsidP="00F954FF">
            <w:r w:rsidRPr="005E1077">
              <w:rPr>
                <w:rFonts w:ascii="Times New Roman" w:eastAsia="Times New Roman" w:hAnsi="Times New Roman" w:cs="Times New Roman"/>
                <w:b/>
                <w:sz w:val="24"/>
                <w:szCs w:val="24"/>
              </w:rPr>
              <w:t>Objectives of studying the subject:</w:t>
            </w:r>
          </w:p>
        </w:tc>
      </w:tr>
      <w:tr w:rsidR="008643B3" w14:paraId="227EAEEF" w14:textId="77777777">
        <w:trPr>
          <w:trHeight w:val="750"/>
        </w:trPr>
        <w:tc>
          <w:tcPr>
            <w:tcW w:w="9647" w:type="dxa"/>
            <w:tcBorders>
              <w:top w:val="single" w:sz="4" w:space="0" w:color="000000"/>
              <w:left w:val="single" w:sz="4" w:space="0" w:color="000000"/>
              <w:bottom w:val="single" w:sz="33" w:space="0" w:color="B3B3B3"/>
              <w:right w:val="single" w:sz="4" w:space="0" w:color="000000"/>
            </w:tcBorders>
            <w:vAlign w:val="center"/>
          </w:tcPr>
          <w:p w14:paraId="03B3D196"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Students will learn about contemporary approaches to language teaching within different social, cultural, geographical and institutional contexts.</w:t>
            </w:r>
          </w:p>
          <w:p w14:paraId="20095E98" w14:textId="247C24EF" w:rsidR="008643B3" w:rsidRDefault="00F954FF" w:rsidP="00F954FF">
            <w:r w:rsidRPr="00F954FF">
              <w:rPr>
                <w:rFonts w:ascii="Times New Roman" w:eastAsia="Times New Roman" w:hAnsi="Times New Roman" w:cs="Times New Roman"/>
              </w:rPr>
              <w:t>​</w:t>
            </w:r>
          </w:p>
        </w:tc>
      </w:tr>
      <w:tr w:rsidR="00F954FF" w14:paraId="1EF4B9DC"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7109C5C3" w14:textId="4A11005F" w:rsidR="00F954FF" w:rsidRDefault="00F954FF" w:rsidP="00F954FF">
            <w:r w:rsidRPr="005E1077">
              <w:rPr>
                <w:rFonts w:ascii="Times New Roman" w:eastAsia="Times New Roman" w:hAnsi="Times New Roman" w:cs="Times New Roman"/>
                <w:b/>
                <w:sz w:val="24"/>
                <w:szCs w:val="24"/>
              </w:rPr>
              <w:t>Learning outcome (Acquired knowledge):</w:t>
            </w:r>
          </w:p>
        </w:tc>
      </w:tr>
      <w:tr w:rsidR="00F954FF" w14:paraId="46FFD5FF" w14:textId="77777777">
        <w:trPr>
          <w:trHeight w:val="1214"/>
        </w:trPr>
        <w:tc>
          <w:tcPr>
            <w:tcW w:w="9647" w:type="dxa"/>
            <w:tcBorders>
              <w:top w:val="single" w:sz="4" w:space="0" w:color="000000"/>
              <w:left w:val="single" w:sz="4" w:space="0" w:color="000000"/>
              <w:bottom w:val="single" w:sz="4" w:space="0" w:color="000000"/>
              <w:right w:val="single" w:sz="4" w:space="0" w:color="000000"/>
            </w:tcBorders>
          </w:tcPr>
          <w:p w14:paraId="2D8AF5AE" w14:textId="4F7A70B8" w:rsidR="00F954FF" w:rsidRPr="00F954FF" w:rsidRDefault="00F954FF" w:rsidP="00F954FF">
            <w:pPr>
              <w:ind w:right="52"/>
              <w:jc w:val="both"/>
              <w:rPr>
                <w:rFonts w:ascii="Times New Roman" w:hAnsi="Times New Roman" w:cs="Times New Roman"/>
              </w:rPr>
            </w:pPr>
            <w:r w:rsidRPr="00F954FF">
              <w:rPr>
                <w:rFonts w:ascii="Times New Roman" w:hAnsi="Times New Roman" w:cs="Times New Roman"/>
              </w:rPr>
              <w:t>Students will be able to use the presented research apparatus for independent implementation of research and pedagogical practice. Also, students will be able to apply the acquired theoretical and practical knowledge in the labor market, but also in their own research and practical work.</w:t>
            </w:r>
          </w:p>
        </w:tc>
      </w:tr>
      <w:tr w:rsidR="00F954FF" w14:paraId="1DEE472E" w14:textId="77777777">
        <w:trPr>
          <w:trHeight w:val="382"/>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5FC183E8" w14:textId="3BD8FEBB" w:rsidR="00F954FF" w:rsidRDefault="00F954FF" w:rsidP="00F954FF">
            <w:r w:rsidRPr="005E1077">
              <w:rPr>
                <w:rFonts w:ascii="Times New Roman" w:eastAsia="Times New Roman" w:hAnsi="Times New Roman" w:cs="Times New Roman"/>
                <w:b/>
                <w:sz w:val="24"/>
                <w:szCs w:val="24"/>
              </w:rPr>
              <w:t>Course content:</w:t>
            </w:r>
          </w:p>
        </w:tc>
      </w:tr>
      <w:tr w:rsidR="008643B3" w14:paraId="407ED4DD" w14:textId="77777777">
        <w:trPr>
          <w:trHeight w:val="1454"/>
        </w:trPr>
        <w:tc>
          <w:tcPr>
            <w:tcW w:w="9647" w:type="dxa"/>
            <w:tcBorders>
              <w:top w:val="single" w:sz="4" w:space="0" w:color="000000"/>
              <w:left w:val="single" w:sz="4" w:space="0" w:color="000000"/>
              <w:bottom w:val="single" w:sz="33" w:space="0" w:color="B3B3B3"/>
              <w:right w:val="single" w:sz="4" w:space="0" w:color="000000"/>
            </w:tcBorders>
          </w:tcPr>
          <w:p w14:paraId="592D78C4" w14:textId="43ABBCD7" w:rsidR="008643B3" w:rsidRDefault="00F954FF">
            <w:pPr>
              <w:ind w:right="52"/>
              <w:jc w:val="both"/>
            </w:pPr>
            <w:r w:rsidRPr="00F954FF">
              <w:rPr>
                <w:rFonts w:ascii="Times New Roman" w:eastAsia="Times New Roman" w:hAnsi="Times New Roman" w:cs="Times New Roman"/>
              </w:rPr>
              <w:t>Students will learn about contemporary trends in applied linguistic practice, with a special focus on language teaching. In addition to the historical-theoretical review of contemporary currents and innovations that are applied in language teaching, students will also be shown practically the selected innovations, which will be adapted to their needs and the needs of the labor market.</w:t>
            </w:r>
          </w:p>
        </w:tc>
      </w:tr>
      <w:tr w:rsidR="00F954FF" w14:paraId="3FF7E5EF" w14:textId="77777777">
        <w:trPr>
          <w:trHeight w:val="349"/>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5CB8FE12" w14:textId="4E69C9D8" w:rsidR="00F954FF" w:rsidRDefault="00F954FF" w:rsidP="00F954FF">
            <w:r w:rsidRPr="005E1077">
              <w:rPr>
                <w:rFonts w:ascii="Times New Roman" w:eastAsia="Times New Roman" w:hAnsi="Times New Roman" w:cs="Times New Roman"/>
                <w:b/>
                <w:sz w:val="24"/>
                <w:szCs w:val="24"/>
              </w:rPr>
              <w:lastRenderedPageBreak/>
              <w:t>Teaching methods and mastering the material:</w:t>
            </w:r>
          </w:p>
        </w:tc>
      </w:tr>
    </w:tbl>
    <w:p w14:paraId="243CE328" w14:textId="77777777" w:rsidR="008643B3" w:rsidRDefault="008643B3">
      <w:pPr>
        <w:spacing w:after="0"/>
        <w:ind w:left="-1440" w:right="10800"/>
      </w:pPr>
    </w:p>
    <w:tbl>
      <w:tblPr>
        <w:tblStyle w:val="TableGrid"/>
        <w:tblW w:w="9647" w:type="dxa"/>
        <w:tblInd w:w="390" w:type="dxa"/>
        <w:tblCellMar>
          <w:top w:w="83" w:type="dxa"/>
          <w:left w:w="78" w:type="dxa"/>
          <w:right w:w="115" w:type="dxa"/>
        </w:tblCellMar>
        <w:tblLook w:val="04A0" w:firstRow="1" w:lastRow="0" w:firstColumn="1" w:lastColumn="0" w:noHBand="0" w:noVBand="1"/>
      </w:tblPr>
      <w:tblGrid>
        <w:gridCol w:w="2581"/>
        <w:gridCol w:w="1126"/>
        <w:gridCol w:w="1980"/>
        <w:gridCol w:w="1080"/>
        <w:gridCol w:w="1981"/>
        <w:gridCol w:w="899"/>
      </w:tblGrid>
      <w:tr w:rsidR="008643B3" w14:paraId="334F3384" w14:textId="77777777" w:rsidTr="00F954FF">
        <w:trPr>
          <w:trHeight w:val="4469"/>
        </w:trPr>
        <w:tc>
          <w:tcPr>
            <w:tcW w:w="9647" w:type="dxa"/>
            <w:gridSpan w:val="6"/>
            <w:tcBorders>
              <w:top w:val="single" w:sz="4" w:space="0" w:color="000000"/>
              <w:left w:val="single" w:sz="4" w:space="0" w:color="000000"/>
              <w:bottom w:val="single" w:sz="4" w:space="0" w:color="000000"/>
              <w:right w:val="single" w:sz="4" w:space="0" w:color="000000"/>
            </w:tcBorders>
          </w:tcPr>
          <w:p w14:paraId="2154F610" w14:textId="7F595739" w:rsidR="00F954FF" w:rsidRPr="00F954FF" w:rsidRDefault="00F954FF" w:rsidP="00F954FF">
            <w:pPr>
              <w:rPr>
                <w:rFonts w:ascii="Times New Roman" w:eastAsia="Times New Roman" w:hAnsi="Times New Roman" w:cs="Times New Roman"/>
              </w:rPr>
            </w:pPr>
            <w:r>
              <w:rPr>
                <w:rFonts w:ascii="Times New Roman" w:eastAsia="Times New Roman" w:hAnsi="Times New Roman" w:cs="Times New Roman"/>
              </w:rPr>
              <w:t>L</w:t>
            </w:r>
            <w:r w:rsidRPr="00F954FF">
              <w:rPr>
                <w:rFonts w:ascii="Times New Roman" w:eastAsia="Times New Roman" w:hAnsi="Times New Roman" w:cs="Times New Roman"/>
              </w:rPr>
              <w:t>ectures, exercises, seminar papers, consultations, independent work at home.</w:t>
            </w:r>
          </w:p>
          <w:p w14:paraId="53709628"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xml:space="preserve"> </w:t>
            </w:r>
          </w:p>
          <w:p w14:paraId="213D6E46"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The following thematic units will be covered:</w:t>
            </w:r>
          </w:p>
          <w:p w14:paraId="4CBC42EE"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xml:space="preserve"> </w:t>
            </w:r>
          </w:p>
          <w:p w14:paraId="6D607395"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Language teaching in the post-method period</w:t>
            </w:r>
          </w:p>
          <w:p w14:paraId="283F1424"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Acquisition of native and foreign languages</w:t>
            </w:r>
          </w:p>
          <w:p w14:paraId="16F46A0B"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Bilingualism and multilingualism</w:t>
            </w:r>
          </w:p>
          <w:p w14:paraId="3994EDFB"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Communicative curriculum and language teaching</w:t>
            </w:r>
          </w:p>
          <w:p w14:paraId="217A82B0"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Cooperative and collaborative language teaching</w:t>
            </w:r>
          </w:p>
          <w:p w14:paraId="73F45EDE"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Using an intercultural and multicultural approach in language teaching</w:t>
            </w:r>
          </w:p>
          <w:p w14:paraId="00E86F0D"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Information technologies in language teaching</w:t>
            </w:r>
          </w:p>
          <w:p w14:paraId="6FF8F7B2"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Teaching receptive language skills</w:t>
            </w:r>
          </w:p>
          <w:p w14:paraId="3D436DCA"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Teaching productive language skills</w:t>
            </w:r>
          </w:p>
          <w:p w14:paraId="5ED7A2A4" w14:textId="77777777" w:rsidR="00F954FF" w:rsidRP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New approaches to vocabulary teaching</w:t>
            </w:r>
          </w:p>
          <w:p w14:paraId="09891B84" w14:textId="77777777" w:rsidR="00F954FF" w:rsidRDefault="00F954FF" w:rsidP="00F954FF">
            <w:pPr>
              <w:rPr>
                <w:rFonts w:ascii="Times New Roman" w:eastAsia="Times New Roman" w:hAnsi="Times New Roman" w:cs="Times New Roman"/>
              </w:rPr>
            </w:pPr>
            <w:r w:rsidRPr="00F954FF">
              <w:rPr>
                <w:rFonts w:ascii="Times New Roman" w:eastAsia="Times New Roman" w:hAnsi="Times New Roman" w:cs="Times New Roman"/>
              </w:rPr>
              <w:t>- Grammar as a product, process and skill</w:t>
            </w:r>
          </w:p>
          <w:p w14:paraId="08DD77F2" w14:textId="66C9CED9" w:rsidR="008643B3" w:rsidRPr="00F954FF" w:rsidRDefault="00F954FF" w:rsidP="00F954FF">
            <w:pPr>
              <w:rPr>
                <w:rFonts w:ascii="Times New Roman" w:eastAsia="Times New Roman" w:hAnsi="Times New Roman" w:cs="Times New Roman"/>
              </w:rPr>
            </w:pPr>
            <w:r>
              <w:rPr>
                <w:rFonts w:ascii="Times New Roman" w:eastAsia="Times New Roman" w:hAnsi="Times New Roman" w:cs="Times New Roman"/>
              </w:rPr>
              <w:t xml:space="preserve">- </w:t>
            </w:r>
            <w:r w:rsidRPr="00F954FF">
              <w:rPr>
                <w:rFonts w:ascii="Times New Roman" w:eastAsia="Times New Roman" w:hAnsi="Times New Roman" w:cs="Times New Roman"/>
              </w:rPr>
              <w:t>Creativity and language teaching</w:t>
            </w:r>
          </w:p>
        </w:tc>
      </w:tr>
      <w:tr w:rsidR="008643B3" w14:paraId="19F325C1" w14:textId="77777777">
        <w:trPr>
          <w:trHeight w:val="38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0781610" w14:textId="4C4CB0D4" w:rsidR="008643B3" w:rsidRDefault="00F954FF">
            <w:r>
              <w:rPr>
                <w:rFonts w:ascii="Times New Roman" w:eastAsia="Times New Roman" w:hAnsi="Times New Roman" w:cs="Times New Roman"/>
                <w:b/>
              </w:rPr>
              <w:t>Literature:</w:t>
            </w:r>
          </w:p>
        </w:tc>
      </w:tr>
      <w:tr w:rsidR="008643B3" w14:paraId="7F99D8E2" w14:textId="77777777">
        <w:trPr>
          <w:trHeight w:val="5209"/>
        </w:trPr>
        <w:tc>
          <w:tcPr>
            <w:tcW w:w="9647" w:type="dxa"/>
            <w:gridSpan w:val="6"/>
            <w:tcBorders>
              <w:top w:val="single" w:sz="4" w:space="0" w:color="000000"/>
              <w:left w:val="single" w:sz="4" w:space="0" w:color="000000"/>
              <w:bottom w:val="single" w:sz="4" w:space="0" w:color="000000"/>
              <w:right w:val="single" w:sz="4" w:space="0" w:color="000000"/>
            </w:tcBorders>
            <w:vAlign w:val="bottom"/>
          </w:tcPr>
          <w:p w14:paraId="1FFC0A99" w14:textId="77777777" w:rsidR="008643B3" w:rsidRDefault="001A60A9">
            <w:pPr>
              <w:numPr>
                <w:ilvl w:val="0"/>
                <w:numId w:val="2"/>
              </w:numPr>
              <w:spacing w:after="84" w:line="260" w:lineRule="auto"/>
              <w:ind w:hanging="240"/>
              <w:jc w:val="both"/>
            </w:pPr>
            <w:r w:rsidRPr="00F954FF">
              <w:rPr>
                <w:rFonts w:ascii="Times New Roman" w:eastAsia="Times New Roman" w:hAnsi="Times New Roman" w:cs="Times New Roman"/>
                <w:lang w:val="de-DE"/>
              </w:rPr>
              <w:t xml:space="preserve">Blell, G., &amp; Lütge (Hrgs.). (2012). </w:t>
            </w:r>
            <w:r w:rsidRPr="00F954FF">
              <w:rPr>
                <w:rFonts w:ascii="Times New Roman" w:eastAsia="Times New Roman" w:hAnsi="Times New Roman" w:cs="Times New Roman"/>
                <w:i/>
                <w:lang w:val="de-DE"/>
              </w:rPr>
              <w:t xml:space="preserve">Fremdsprachendidaktik and Lehrerbildung. </w:t>
            </w:r>
            <w:proofErr w:type="spellStart"/>
            <w:r>
              <w:rPr>
                <w:rFonts w:ascii="Times New Roman" w:eastAsia="Times New Roman" w:hAnsi="Times New Roman" w:cs="Times New Roman"/>
                <w:i/>
              </w:rPr>
              <w:t>Konzepte</w:t>
            </w:r>
            <w:proofErr w:type="spellEnd"/>
            <w:r>
              <w:rPr>
                <w:rFonts w:ascii="Times New Roman" w:eastAsia="Times New Roman" w:hAnsi="Times New Roman" w:cs="Times New Roman"/>
                <w:i/>
              </w:rPr>
              <w:t xml:space="preserve">, Impulse, </w:t>
            </w:r>
            <w:proofErr w:type="spellStart"/>
            <w:r>
              <w:rPr>
                <w:rFonts w:ascii="Times New Roman" w:eastAsia="Times New Roman" w:hAnsi="Times New Roman" w:cs="Times New Roman"/>
                <w:i/>
              </w:rPr>
              <w:t>Perspektiven</w:t>
            </w:r>
            <w:proofErr w:type="spellEnd"/>
            <w:r>
              <w:rPr>
                <w:rFonts w:ascii="Times New Roman" w:eastAsia="Times New Roman" w:hAnsi="Times New Roman" w:cs="Times New Roman"/>
              </w:rPr>
              <w:t xml:space="preserve">. Berlin: </w:t>
            </w:r>
            <w:proofErr w:type="spellStart"/>
            <w:r>
              <w:rPr>
                <w:rFonts w:ascii="Times New Roman" w:eastAsia="Times New Roman" w:hAnsi="Times New Roman" w:cs="Times New Roman"/>
              </w:rPr>
              <w:t>LITVerlag</w:t>
            </w:r>
            <w:proofErr w:type="spellEnd"/>
            <w:r>
              <w:rPr>
                <w:rFonts w:ascii="Times New Roman" w:eastAsia="Times New Roman" w:hAnsi="Times New Roman" w:cs="Times New Roman"/>
              </w:rPr>
              <w:t>.</w:t>
            </w:r>
            <w:r>
              <w:rPr>
                <w:rFonts w:ascii="Times New Roman" w:eastAsia="Times New Roman" w:hAnsi="Times New Roman" w:cs="Times New Roman"/>
                <w:sz w:val="26"/>
              </w:rPr>
              <w:t xml:space="preserve"> </w:t>
            </w:r>
          </w:p>
          <w:p w14:paraId="232F5861" w14:textId="77777777" w:rsidR="008643B3" w:rsidRDefault="001A60A9">
            <w:pPr>
              <w:numPr>
                <w:ilvl w:val="0"/>
                <w:numId w:val="2"/>
              </w:numPr>
              <w:spacing w:after="88"/>
              <w:ind w:hanging="240"/>
              <w:jc w:val="both"/>
            </w:pPr>
            <w:r w:rsidRPr="00F954FF">
              <w:rPr>
                <w:rFonts w:ascii="Times New Roman" w:eastAsia="Times New Roman" w:hAnsi="Times New Roman" w:cs="Times New Roman"/>
                <w:lang w:val="de-DE"/>
              </w:rPr>
              <w:t xml:space="preserve">Neveling. C. (Hrgs.). (2002). </w:t>
            </w:r>
            <w:r w:rsidRPr="00F954FF">
              <w:rPr>
                <w:rFonts w:ascii="Times New Roman" w:eastAsia="Times New Roman" w:hAnsi="Times New Roman" w:cs="Times New Roman"/>
                <w:i/>
                <w:lang w:val="de-DE"/>
              </w:rPr>
              <w:t>Perspektive für die zukünftige Fremdsprachendidaktik</w:t>
            </w:r>
            <w:r w:rsidRPr="00F954FF">
              <w:rPr>
                <w:rFonts w:ascii="Times New Roman" w:eastAsia="Times New Roman" w:hAnsi="Times New Roman" w:cs="Times New Roman"/>
                <w:lang w:val="de-DE"/>
              </w:rPr>
              <w:t xml:space="preserve">. </w:t>
            </w:r>
            <w:proofErr w:type="spellStart"/>
            <w:r>
              <w:rPr>
                <w:rFonts w:ascii="Times New Roman" w:eastAsia="Times New Roman" w:hAnsi="Times New Roman" w:cs="Times New Roman"/>
              </w:rPr>
              <w:t>Tübingen</w:t>
            </w:r>
            <w:proofErr w:type="spellEnd"/>
            <w:r>
              <w:rPr>
                <w:rFonts w:ascii="Times New Roman" w:eastAsia="Times New Roman" w:hAnsi="Times New Roman" w:cs="Times New Roman"/>
              </w:rPr>
              <w:t xml:space="preserve">: Gunter </w:t>
            </w:r>
            <w:proofErr w:type="spellStart"/>
            <w:r>
              <w:rPr>
                <w:rFonts w:ascii="Times New Roman" w:eastAsia="Times New Roman" w:hAnsi="Times New Roman" w:cs="Times New Roman"/>
              </w:rPr>
              <w:t>Narr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Verlag</w:t>
            </w:r>
            <w:proofErr w:type="spellEnd"/>
            <w:r>
              <w:rPr>
                <w:rFonts w:ascii="Times New Roman" w:eastAsia="Times New Roman" w:hAnsi="Times New Roman" w:cs="Times New Roman"/>
              </w:rPr>
              <w:t>.</w:t>
            </w:r>
            <w:r>
              <w:rPr>
                <w:rFonts w:ascii="Times New Roman" w:eastAsia="Times New Roman" w:hAnsi="Times New Roman" w:cs="Times New Roman"/>
                <w:sz w:val="26"/>
              </w:rPr>
              <w:t xml:space="preserve"> </w:t>
            </w:r>
          </w:p>
          <w:p w14:paraId="6A5E3353" w14:textId="77777777" w:rsidR="008643B3" w:rsidRPr="00F954FF" w:rsidRDefault="001A60A9">
            <w:pPr>
              <w:numPr>
                <w:ilvl w:val="0"/>
                <w:numId w:val="2"/>
              </w:numPr>
              <w:spacing w:after="95" w:line="257" w:lineRule="auto"/>
              <w:ind w:hanging="240"/>
              <w:jc w:val="both"/>
              <w:rPr>
                <w:lang w:val="de-DE"/>
              </w:rPr>
            </w:pPr>
            <w:r w:rsidRPr="00F954FF">
              <w:rPr>
                <w:rFonts w:ascii="Times New Roman" w:eastAsia="Times New Roman" w:hAnsi="Times New Roman" w:cs="Times New Roman"/>
                <w:lang w:val="de-DE"/>
              </w:rPr>
              <w:t xml:space="preserve">Roche, J. (2013). </w:t>
            </w:r>
            <w:r w:rsidRPr="00F954FF">
              <w:rPr>
                <w:rFonts w:ascii="Times New Roman" w:eastAsia="Times New Roman" w:hAnsi="Times New Roman" w:cs="Times New Roman"/>
                <w:i/>
                <w:lang w:val="de-DE"/>
              </w:rPr>
              <w:t>Fremdsprachenerwerb: Fremdsprachendidaktik</w:t>
            </w:r>
            <w:r w:rsidRPr="00F954FF">
              <w:rPr>
                <w:rFonts w:ascii="Times New Roman" w:eastAsia="Times New Roman" w:hAnsi="Times New Roman" w:cs="Times New Roman"/>
                <w:lang w:val="de-DE"/>
              </w:rPr>
              <w:t>. Tübingen: Narr Francke Attempto Verlag.</w:t>
            </w:r>
            <w:r w:rsidRPr="00F954FF">
              <w:rPr>
                <w:rFonts w:ascii="Times New Roman" w:eastAsia="Times New Roman" w:hAnsi="Times New Roman" w:cs="Times New Roman"/>
                <w:sz w:val="26"/>
                <w:lang w:val="de-DE"/>
              </w:rPr>
              <w:t xml:space="preserve"> </w:t>
            </w:r>
          </w:p>
          <w:p w14:paraId="3AE3F48C" w14:textId="77777777" w:rsidR="008643B3" w:rsidRDefault="001A60A9">
            <w:pPr>
              <w:numPr>
                <w:ilvl w:val="0"/>
                <w:numId w:val="2"/>
              </w:numPr>
              <w:spacing w:after="79" w:line="262" w:lineRule="auto"/>
              <w:ind w:hanging="240"/>
              <w:jc w:val="both"/>
            </w:pPr>
            <w:proofErr w:type="spellStart"/>
            <w:r>
              <w:rPr>
                <w:rFonts w:ascii="Times New Roman" w:eastAsia="Times New Roman" w:hAnsi="Times New Roman" w:cs="Times New Roman"/>
              </w:rPr>
              <w:t>Martinot</w:t>
            </w:r>
            <w:proofErr w:type="spellEnd"/>
            <w:r>
              <w:rPr>
                <w:rFonts w:ascii="Times New Roman" w:eastAsia="Times New Roman" w:hAnsi="Times New Roman" w:cs="Times New Roman"/>
              </w:rPr>
              <w:t xml:space="preserve">, C. &amp; </w:t>
            </w:r>
            <w:proofErr w:type="spellStart"/>
            <w:r>
              <w:rPr>
                <w:rFonts w:ascii="Times New Roman" w:eastAsia="Times New Roman" w:hAnsi="Times New Roman" w:cs="Times New Roman"/>
              </w:rPr>
              <w:t>Pégaz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Paquet</w:t>
            </w:r>
            <w:proofErr w:type="spellEnd"/>
            <w:r>
              <w:rPr>
                <w:rFonts w:ascii="Times New Roman" w:eastAsia="Times New Roman" w:hAnsi="Times New Roman" w:cs="Times New Roman"/>
              </w:rPr>
              <w:t>, A. (</w:t>
            </w:r>
            <w:proofErr w:type="spellStart"/>
            <w:r>
              <w:rPr>
                <w:rFonts w:ascii="Times New Roman" w:eastAsia="Times New Roman" w:hAnsi="Times New Roman" w:cs="Times New Roman"/>
              </w:rPr>
              <w:t>éds</w:t>
            </w:r>
            <w:proofErr w:type="spellEnd"/>
            <w:r>
              <w:rPr>
                <w:rFonts w:ascii="Times New Roman" w:eastAsia="Times New Roman" w:hAnsi="Times New Roman" w:cs="Times New Roman"/>
              </w:rPr>
              <w:t xml:space="preserve">.). (2014). Innovation </w:t>
            </w:r>
            <w:proofErr w:type="spellStart"/>
            <w:r>
              <w:rPr>
                <w:rFonts w:ascii="Times New Roman" w:eastAsia="Times New Roman" w:hAnsi="Times New Roman" w:cs="Times New Roman"/>
              </w:rPr>
              <w:t>didactiques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français</w:t>
            </w:r>
            <w:proofErr w:type="spellEnd"/>
            <w:r>
              <w:rPr>
                <w:rFonts w:ascii="Times New Roman" w:eastAsia="Times New Roman" w:hAnsi="Times New Roman" w:cs="Times New Roman"/>
              </w:rPr>
              <w:t xml:space="preserve"> langue </w:t>
            </w:r>
            <w:proofErr w:type="spellStart"/>
            <w:r>
              <w:rPr>
                <w:rFonts w:ascii="Times New Roman" w:eastAsia="Times New Roman" w:hAnsi="Times New Roman" w:cs="Times New Roman"/>
              </w:rPr>
              <w:t>étrangère</w:t>
            </w:r>
            <w:proofErr w:type="spellEnd"/>
            <w:r>
              <w:rPr>
                <w:rFonts w:ascii="Times New Roman" w:eastAsia="Times New Roman" w:hAnsi="Times New Roman" w:cs="Times New Roman"/>
              </w:rPr>
              <w:t xml:space="preserve">. Paris: </w:t>
            </w:r>
            <w:proofErr w:type="spellStart"/>
            <w:r>
              <w:rPr>
                <w:rFonts w:ascii="Times New Roman" w:eastAsia="Times New Roman" w:hAnsi="Times New Roman" w:cs="Times New Roman"/>
              </w:rPr>
              <w:t>CRL</w:t>
            </w:r>
            <w:proofErr w:type="spellEnd"/>
            <w:r>
              <w:rPr>
                <w:rFonts w:ascii="Times New Roman" w:eastAsia="Times New Roman" w:hAnsi="Times New Roman" w:cs="Times New Roman"/>
              </w:rPr>
              <w:t xml:space="preserve">, Cellule de </w:t>
            </w:r>
            <w:proofErr w:type="spellStart"/>
            <w:r>
              <w:rPr>
                <w:rFonts w:ascii="Times New Roman" w:eastAsia="Times New Roman" w:hAnsi="Times New Roman" w:cs="Times New Roman"/>
              </w:rPr>
              <w:t>Recherche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Linguistique</w:t>
            </w:r>
            <w:proofErr w:type="spellEnd"/>
            <w:r>
              <w:rPr>
                <w:rFonts w:ascii="Times New Roman" w:eastAsia="Times New Roman" w:hAnsi="Times New Roman" w:cs="Times New Roman"/>
              </w:rPr>
              <w:t>.</w:t>
            </w:r>
            <w:r>
              <w:rPr>
                <w:rFonts w:ascii="Times New Roman" w:eastAsia="Times New Roman" w:hAnsi="Times New Roman" w:cs="Times New Roman"/>
                <w:sz w:val="26"/>
              </w:rPr>
              <w:t xml:space="preserve"> </w:t>
            </w:r>
          </w:p>
          <w:p w14:paraId="5629648B" w14:textId="77777777" w:rsidR="008643B3" w:rsidRDefault="001A60A9">
            <w:pPr>
              <w:numPr>
                <w:ilvl w:val="0"/>
                <w:numId w:val="2"/>
              </w:numPr>
              <w:spacing w:after="76" w:line="264" w:lineRule="auto"/>
              <w:ind w:hanging="240"/>
              <w:jc w:val="both"/>
            </w:pPr>
            <w:r>
              <w:rPr>
                <w:rFonts w:ascii="Times New Roman" w:eastAsia="Times New Roman" w:hAnsi="Times New Roman" w:cs="Times New Roman"/>
              </w:rPr>
              <w:t xml:space="preserve">Hall, D. R., &amp; </w:t>
            </w:r>
            <w:proofErr w:type="spellStart"/>
            <w:r>
              <w:rPr>
                <w:rFonts w:ascii="Times New Roman" w:eastAsia="Times New Roman" w:hAnsi="Times New Roman" w:cs="Times New Roman"/>
              </w:rPr>
              <w:t>Hewings</w:t>
            </w:r>
            <w:proofErr w:type="spellEnd"/>
            <w:r>
              <w:rPr>
                <w:rFonts w:ascii="Times New Roman" w:eastAsia="Times New Roman" w:hAnsi="Times New Roman" w:cs="Times New Roman"/>
              </w:rPr>
              <w:t xml:space="preserve">, A. (eds.) (2001). </w:t>
            </w:r>
            <w:r>
              <w:rPr>
                <w:rFonts w:ascii="Times New Roman" w:eastAsia="Times New Roman" w:hAnsi="Times New Roman" w:cs="Times New Roman"/>
                <w:i/>
              </w:rPr>
              <w:t>Innovation in English Language Teaching: A Reader</w:t>
            </w:r>
            <w:r>
              <w:rPr>
                <w:rFonts w:ascii="Times New Roman" w:eastAsia="Times New Roman" w:hAnsi="Times New Roman" w:cs="Times New Roman"/>
              </w:rPr>
              <w:t>. London: Routledge in association with Macquarie University and the Open University.</w:t>
            </w:r>
            <w:r>
              <w:rPr>
                <w:rFonts w:ascii="Times New Roman" w:eastAsia="Times New Roman" w:hAnsi="Times New Roman" w:cs="Times New Roman"/>
                <w:sz w:val="26"/>
              </w:rPr>
              <w:t xml:space="preserve"> </w:t>
            </w:r>
          </w:p>
          <w:p w14:paraId="0D02FF7E" w14:textId="77777777" w:rsidR="008643B3" w:rsidRDefault="001A60A9">
            <w:pPr>
              <w:numPr>
                <w:ilvl w:val="0"/>
                <w:numId w:val="2"/>
              </w:numPr>
              <w:spacing w:after="76" w:line="264" w:lineRule="auto"/>
              <w:ind w:hanging="240"/>
              <w:jc w:val="both"/>
            </w:pPr>
            <w:r>
              <w:rPr>
                <w:rFonts w:ascii="Times New Roman" w:eastAsia="Times New Roman" w:hAnsi="Times New Roman" w:cs="Times New Roman"/>
              </w:rPr>
              <w:t xml:space="preserve">Sobel, D. M., &amp; Taylor, S. V. (2011). </w:t>
            </w:r>
            <w:r>
              <w:rPr>
                <w:rFonts w:ascii="Times New Roman" w:eastAsia="Times New Roman" w:hAnsi="Times New Roman" w:cs="Times New Roman"/>
                <w:i/>
              </w:rPr>
              <w:t>Culturally Responsive Pedagogy: Teaching Like Our Students’ Lives Matter</w:t>
            </w:r>
            <w:r>
              <w:rPr>
                <w:rFonts w:ascii="Times New Roman" w:eastAsia="Times New Roman" w:hAnsi="Times New Roman" w:cs="Times New Roman"/>
              </w:rPr>
              <w:t>. Bingley: Emerald. Group Publishing Limited.</w:t>
            </w:r>
            <w:r>
              <w:rPr>
                <w:rFonts w:ascii="Times New Roman" w:eastAsia="Times New Roman" w:hAnsi="Times New Roman" w:cs="Times New Roman"/>
                <w:sz w:val="26"/>
              </w:rPr>
              <w:t xml:space="preserve"> </w:t>
            </w:r>
          </w:p>
          <w:p w14:paraId="471033D4" w14:textId="77777777" w:rsidR="008643B3" w:rsidRDefault="001A60A9">
            <w:pPr>
              <w:numPr>
                <w:ilvl w:val="0"/>
                <w:numId w:val="2"/>
              </w:numPr>
              <w:spacing w:after="81" w:line="263" w:lineRule="auto"/>
              <w:ind w:hanging="240"/>
              <w:jc w:val="both"/>
            </w:pPr>
            <w:r>
              <w:rPr>
                <w:rFonts w:ascii="Times New Roman" w:eastAsia="Times New Roman" w:hAnsi="Times New Roman" w:cs="Times New Roman"/>
              </w:rPr>
              <w:t xml:space="preserve">Stevens, D. &amp; N. </w:t>
            </w:r>
            <w:proofErr w:type="spellStart"/>
            <w:r>
              <w:rPr>
                <w:rFonts w:ascii="Times New Roman" w:eastAsia="Times New Roman" w:hAnsi="Times New Roman" w:cs="Times New Roman"/>
              </w:rPr>
              <w:t>McGuinn</w:t>
            </w:r>
            <w:proofErr w:type="spellEnd"/>
            <w:r>
              <w:rPr>
                <w:rFonts w:ascii="Times New Roman" w:eastAsia="Times New Roman" w:hAnsi="Times New Roman" w:cs="Times New Roman"/>
              </w:rPr>
              <w:t xml:space="preserve">. (2004). </w:t>
            </w:r>
            <w:r>
              <w:rPr>
                <w:rFonts w:ascii="Times New Roman" w:eastAsia="Times New Roman" w:hAnsi="Times New Roman" w:cs="Times New Roman"/>
                <w:i/>
              </w:rPr>
              <w:t>The Art of Teaching Secondary English. Innovative and Creative Approaches</w:t>
            </w:r>
            <w:r>
              <w:rPr>
                <w:rFonts w:ascii="Times New Roman" w:eastAsia="Times New Roman" w:hAnsi="Times New Roman" w:cs="Times New Roman"/>
              </w:rPr>
              <w:t>. London and New York: Routledge.</w:t>
            </w:r>
            <w:r>
              <w:rPr>
                <w:rFonts w:ascii="Times New Roman" w:eastAsia="Times New Roman" w:hAnsi="Times New Roman" w:cs="Times New Roman"/>
                <w:sz w:val="26"/>
              </w:rPr>
              <w:t xml:space="preserve"> </w:t>
            </w:r>
          </w:p>
          <w:p w14:paraId="53A1288D" w14:textId="77777777" w:rsidR="008643B3" w:rsidRDefault="001A60A9">
            <w:pPr>
              <w:numPr>
                <w:ilvl w:val="0"/>
                <w:numId w:val="2"/>
              </w:numPr>
              <w:spacing w:after="86" w:line="260" w:lineRule="auto"/>
              <w:ind w:hanging="240"/>
              <w:jc w:val="both"/>
            </w:pPr>
            <w:proofErr w:type="spellStart"/>
            <w:r>
              <w:rPr>
                <w:rFonts w:ascii="Times New Roman" w:eastAsia="Times New Roman" w:hAnsi="Times New Roman" w:cs="Times New Roman"/>
              </w:rPr>
              <w:t>Babić</w:t>
            </w:r>
            <w:proofErr w:type="spellEnd"/>
            <w:r>
              <w:rPr>
                <w:rFonts w:ascii="Times New Roman" w:eastAsia="Times New Roman" w:hAnsi="Times New Roman" w:cs="Times New Roman"/>
              </w:rPr>
              <w:t xml:space="preserve">, Ž. (2013). </w:t>
            </w:r>
            <w:proofErr w:type="spellStart"/>
            <w:r>
              <w:rPr>
                <w:rFonts w:ascii="Times New Roman" w:eastAsia="Times New Roman" w:hAnsi="Times New Roman" w:cs="Times New Roman"/>
                <w:i/>
              </w:rPr>
              <w:t>Jezička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interferencija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usvajanje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sintaksičko-semantičkih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struktura</w:t>
            </w:r>
            <w:proofErr w:type="spellEnd"/>
            <w:r>
              <w:rPr>
                <w:rFonts w:ascii="Times New Roman" w:eastAsia="Times New Roman" w:hAnsi="Times New Roman" w:cs="Times New Roman"/>
              </w:rPr>
              <w:t xml:space="preserve">. Banja Luka: </w:t>
            </w:r>
            <w:proofErr w:type="spellStart"/>
            <w:r>
              <w:rPr>
                <w:rFonts w:ascii="Times New Roman" w:eastAsia="Times New Roman" w:hAnsi="Times New Roman" w:cs="Times New Roman"/>
              </w:rPr>
              <w:t>Filološki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fakultet</w:t>
            </w:r>
            <w:proofErr w:type="spellEnd"/>
            <w:r>
              <w:rPr>
                <w:rFonts w:ascii="Times New Roman" w:eastAsia="Times New Roman" w:hAnsi="Times New Roman" w:cs="Times New Roman"/>
              </w:rPr>
              <w:t>.</w:t>
            </w:r>
            <w:r>
              <w:rPr>
                <w:rFonts w:ascii="Times New Roman" w:eastAsia="Times New Roman" w:hAnsi="Times New Roman" w:cs="Times New Roman"/>
                <w:sz w:val="26"/>
              </w:rPr>
              <w:t xml:space="preserve"> </w:t>
            </w:r>
          </w:p>
          <w:p w14:paraId="689D8F93" w14:textId="77777777" w:rsidR="008643B3" w:rsidRDefault="001A60A9">
            <w:pPr>
              <w:numPr>
                <w:ilvl w:val="0"/>
                <w:numId w:val="2"/>
              </w:numPr>
              <w:ind w:hanging="240"/>
              <w:jc w:val="both"/>
            </w:pPr>
            <w:proofErr w:type="spellStart"/>
            <w:r>
              <w:rPr>
                <w:rFonts w:ascii="Times New Roman" w:eastAsia="Times New Roman" w:hAnsi="Times New Roman" w:cs="Times New Roman"/>
              </w:rPr>
              <w:t>Vilotijević</w:t>
            </w:r>
            <w:proofErr w:type="spellEnd"/>
            <w:r>
              <w:rPr>
                <w:rFonts w:ascii="Times New Roman" w:eastAsia="Times New Roman" w:hAnsi="Times New Roman" w:cs="Times New Roman"/>
              </w:rPr>
              <w:t xml:space="preserve">, M., &amp; </w:t>
            </w:r>
            <w:proofErr w:type="spellStart"/>
            <w:r>
              <w:rPr>
                <w:rFonts w:ascii="Times New Roman" w:eastAsia="Times New Roman" w:hAnsi="Times New Roman" w:cs="Times New Roman"/>
              </w:rPr>
              <w:t>Vilotijević</w:t>
            </w:r>
            <w:proofErr w:type="spellEnd"/>
            <w:r>
              <w:rPr>
                <w:rFonts w:ascii="Times New Roman" w:eastAsia="Times New Roman" w:hAnsi="Times New Roman" w:cs="Times New Roman"/>
              </w:rPr>
              <w:t xml:space="preserve">, N. (2008). </w:t>
            </w:r>
            <w:proofErr w:type="spellStart"/>
            <w:r>
              <w:rPr>
                <w:rFonts w:ascii="Times New Roman" w:eastAsia="Times New Roman" w:hAnsi="Times New Roman" w:cs="Times New Roman"/>
              </w:rPr>
              <w:t>Inovacije</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nastavi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Vranje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Učiteljski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fakultet</w:t>
            </w:r>
            <w:proofErr w:type="spellEnd"/>
            <w:r>
              <w:rPr>
                <w:rFonts w:ascii="Times New Roman" w:eastAsia="Times New Roman" w:hAnsi="Times New Roman" w:cs="Times New Roman"/>
              </w:rPr>
              <w:t>.</w:t>
            </w:r>
            <w:r>
              <w:rPr>
                <w:rFonts w:ascii="Times New Roman" w:eastAsia="Times New Roman" w:hAnsi="Times New Roman" w:cs="Times New Roman"/>
                <w:sz w:val="26"/>
              </w:rPr>
              <w:t xml:space="preserve"> </w:t>
            </w:r>
          </w:p>
        </w:tc>
      </w:tr>
      <w:tr w:rsidR="00F954FF" w14:paraId="5C9D9CC6" w14:textId="77777777">
        <w:trPr>
          <w:trHeight w:val="39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C22582D" w14:textId="44BF08A0" w:rsidR="00F954FF" w:rsidRDefault="00F954FF" w:rsidP="00F954FF">
            <w:r w:rsidRPr="005E1077">
              <w:rPr>
                <w:rFonts w:ascii="Times New Roman" w:eastAsia="Times New Roman" w:hAnsi="Times New Roman" w:cs="Times New Roman"/>
                <w:b/>
                <w:sz w:val="24"/>
                <w:szCs w:val="24"/>
              </w:rPr>
              <w:t>Forms of knowledge testing and assessment:</w:t>
            </w:r>
          </w:p>
        </w:tc>
      </w:tr>
      <w:tr w:rsidR="008643B3" w14:paraId="4303B031" w14:textId="77777777">
        <w:trPr>
          <w:trHeight w:val="500"/>
        </w:trPr>
        <w:tc>
          <w:tcPr>
            <w:tcW w:w="9647" w:type="dxa"/>
            <w:gridSpan w:val="6"/>
            <w:tcBorders>
              <w:top w:val="single" w:sz="4" w:space="0" w:color="000000"/>
              <w:left w:val="single" w:sz="4" w:space="0" w:color="000000"/>
              <w:bottom w:val="single" w:sz="4" w:space="0" w:color="000000"/>
              <w:right w:val="single" w:sz="4" w:space="0" w:color="000000"/>
            </w:tcBorders>
          </w:tcPr>
          <w:p w14:paraId="25943D62" w14:textId="77777777" w:rsidR="008643B3" w:rsidRDefault="001A60A9">
            <w:r>
              <w:rPr>
                <w:rFonts w:ascii="Times New Roman" w:eastAsia="Times New Roman" w:hAnsi="Times New Roman" w:cs="Times New Roman"/>
                <w:sz w:val="26"/>
              </w:rPr>
              <w:t xml:space="preserve"> </w:t>
            </w:r>
          </w:p>
        </w:tc>
      </w:tr>
      <w:tr w:rsidR="008643B3" w14:paraId="0999435B" w14:textId="77777777" w:rsidTr="00F954FF">
        <w:trPr>
          <w:trHeight w:val="650"/>
        </w:trPr>
        <w:tc>
          <w:tcPr>
            <w:tcW w:w="2581" w:type="dxa"/>
            <w:tcBorders>
              <w:top w:val="single" w:sz="4" w:space="0" w:color="000000"/>
              <w:left w:val="single" w:sz="4" w:space="0" w:color="000000"/>
              <w:bottom w:val="single" w:sz="4" w:space="0" w:color="000000"/>
              <w:right w:val="single" w:sz="4" w:space="0" w:color="000000"/>
            </w:tcBorders>
          </w:tcPr>
          <w:p w14:paraId="7F8B2E99" w14:textId="5DEB2A52" w:rsidR="008643B3" w:rsidRDefault="00F954FF">
            <w:r>
              <w:rPr>
                <w:rFonts w:ascii="Times New Roman" w:eastAsia="Times New Roman" w:hAnsi="Times New Roman" w:cs="Times New Roman"/>
                <w:b/>
              </w:rPr>
              <w:t>Seminar papers</w:t>
            </w:r>
          </w:p>
        </w:tc>
        <w:tc>
          <w:tcPr>
            <w:tcW w:w="1126" w:type="dxa"/>
            <w:tcBorders>
              <w:top w:val="single" w:sz="4" w:space="0" w:color="000000"/>
              <w:left w:val="single" w:sz="4" w:space="0" w:color="000000"/>
              <w:bottom w:val="single" w:sz="4" w:space="0" w:color="000000"/>
              <w:right w:val="single" w:sz="4" w:space="0" w:color="000000"/>
            </w:tcBorders>
          </w:tcPr>
          <w:p w14:paraId="1987ABE1" w14:textId="77777777" w:rsidR="008643B3" w:rsidRDefault="001A60A9">
            <w:pPr>
              <w:ind w:left="4"/>
            </w:pPr>
            <w:r>
              <w:rPr>
                <w:rFonts w:ascii="Times New Roman" w:eastAsia="Times New Roman" w:hAnsi="Times New Roman" w:cs="Times New Roman"/>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4D999CE" w14:textId="77777777" w:rsidR="008643B3" w:rsidRDefault="001A60A9">
            <w:pPr>
              <w:ind w:left="1"/>
            </w:pPr>
            <w:r>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AEE16C1" w14:textId="77777777" w:rsidR="008643B3" w:rsidRDefault="001A60A9">
            <w:pPr>
              <w:ind w:left="1"/>
            </w:pPr>
            <w:r>
              <w:rPr>
                <w:rFonts w:ascii="Times New Roman" w:eastAsia="Times New Roman" w:hAnsi="Times New Roman" w:cs="Times New Roman"/>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EBB652" w14:textId="77777777" w:rsidR="008643B3" w:rsidRDefault="001A60A9">
            <w:pPr>
              <w:ind w:left="1"/>
            </w:pPr>
            <w:r>
              <w:rPr>
                <w:rFonts w:ascii="Times New Roman" w:eastAsia="Times New Roman" w:hAnsi="Times New Roman" w:cs="Times New Roman"/>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FBE10DA" w14:textId="77777777" w:rsidR="008643B3" w:rsidRDefault="001A60A9">
            <w:pPr>
              <w:ind w:left="188"/>
            </w:pPr>
            <w:r>
              <w:rPr>
                <w:rFonts w:ascii="Times New Roman" w:eastAsia="Times New Roman" w:hAnsi="Times New Roman" w:cs="Times New Roman"/>
                <w:b/>
              </w:rPr>
              <w:t>50</w:t>
            </w:r>
            <w:r>
              <w:rPr>
                <w:rFonts w:ascii="Times New Roman" w:eastAsia="Times New Roman" w:hAnsi="Times New Roman" w:cs="Times New Roman"/>
                <w:sz w:val="26"/>
              </w:rPr>
              <w:t xml:space="preserve"> </w:t>
            </w:r>
          </w:p>
        </w:tc>
      </w:tr>
      <w:tr w:rsidR="008643B3" w14:paraId="37CE844B" w14:textId="77777777" w:rsidTr="00F954FF">
        <w:trPr>
          <w:trHeight w:val="470"/>
        </w:trPr>
        <w:tc>
          <w:tcPr>
            <w:tcW w:w="2581" w:type="dxa"/>
            <w:tcBorders>
              <w:top w:val="single" w:sz="4" w:space="0" w:color="000000"/>
              <w:left w:val="single" w:sz="4" w:space="0" w:color="000000"/>
              <w:bottom w:val="single" w:sz="4" w:space="0" w:color="000000"/>
              <w:right w:val="single" w:sz="4" w:space="0" w:color="000000"/>
            </w:tcBorders>
            <w:vAlign w:val="center"/>
          </w:tcPr>
          <w:p w14:paraId="57B9AA76" w14:textId="57692D2E" w:rsidR="008643B3" w:rsidRDefault="004E2DCF">
            <w:r>
              <w:rPr>
                <w:rFonts w:ascii="Times New Roman" w:eastAsia="Times New Roman" w:hAnsi="Times New Roman" w:cs="Times New Roman"/>
                <w:b/>
              </w:rPr>
              <w:t>Final exam</w:t>
            </w:r>
          </w:p>
        </w:tc>
        <w:tc>
          <w:tcPr>
            <w:tcW w:w="1126" w:type="dxa"/>
            <w:tcBorders>
              <w:top w:val="single" w:sz="4" w:space="0" w:color="000000"/>
              <w:left w:val="single" w:sz="4" w:space="0" w:color="000000"/>
              <w:bottom w:val="single" w:sz="4" w:space="0" w:color="000000"/>
              <w:right w:val="single" w:sz="4" w:space="0" w:color="000000"/>
            </w:tcBorders>
          </w:tcPr>
          <w:p w14:paraId="08CD57BF" w14:textId="77777777" w:rsidR="008643B3" w:rsidRDefault="001A60A9">
            <w:pPr>
              <w:ind w:left="4"/>
            </w:pPr>
            <w:r>
              <w:rPr>
                <w:rFonts w:ascii="Times New Roman" w:eastAsia="Times New Roman" w:hAnsi="Times New Roman" w:cs="Times New Roman"/>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8ABFCEC" w14:textId="77777777" w:rsidR="008643B3" w:rsidRDefault="001A60A9">
            <w:pPr>
              <w:ind w:left="1"/>
            </w:pPr>
            <w:r>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912CEF7" w14:textId="77777777" w:rsidR="008643B3" w:rsidRDefault="001A60A9">
            <w:pPr>
              <w:ind w:left="1"/>
            </w:pPr>
            <w:r>
              <w:rPr>
                <w:rFonts w:ascii="Times New Roman" w:eastAsia="Times New Roman" w:hAnsi="Times New Roman" w:cs="Times New Roman"/>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19A9C6B" w14:textId="77777777" w:rsidR="008643B3" w:rsidRDefault="001A60A9">
            <w:pPr>
              <w:ind w:left="1"/>
            </w:pPr>
            <w:r>
              <w:rPr>
                <w:rFonts w:ascii="Times New Roman" w:eastAsia="Times New Roman" w:hAnsi="Times New Roman" w:cs="Times New Roman"/>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36F81AD" w14:textId="77777777" w:rsidR="008643B3" w:rsidRDefault="001A60A9">
            <w:pPr>
              <w:ind w:left="188"/>
            </w:pPr>
            <w:r>
              <w:rPr>
                <w:rFonts w:ascii="Times New Roman" w:eastAsia="Times New Roman" w:hAnsi="Times New Roman" w:cs="Times New Roman"/>
                <w:b/>
              </w:rPr>
              <w:t>50</w:t>
            </w:r>
            <w:r>
              <w:rPr>
                <w:rFonts w:ascii="Times New Roman" w:eastAsia="Times New Roman" w:hAnsi="Times New Roman" w:cs="Times New Roman"/>
                <w:sz w:val="26"/>
              </w:rPr>
              <w:t xml:space="preserve"> </w:t>
            </w:r>
          </w:p>
        </w:tc>
      </w:tr>
      <w:tr w:rsidR="004E2DCF" w14:paraId="2140A915" w14:textId="77777777">
        <w:trPr>
          <w:trHeight w:val="382"/>
        </w:trPr>
        <w:tc>
          <w:tcPr>
            <w:tcW w:w="8748" w:type="dxa"/>
            <w:gridSpan w:val="5"/>
            <w:tcBorders>
              <w:top w:val="single" w:sz="4" w:space="0" w:color="000000"/>
              <w:left w:val="single" w:sz="4" w:space="0" w:color="000000"/>
              <w:bottom w:val="single" w:sz="4" w:space="0" w:color="000000"/>
              <w:right w:val="nil"/>
            </w:tcBorders>
            <w:shd w:val="clear" w:color="auto" w:fill="B3B3B3"/>
          </w:tcPr>
          <w:p w14:paraId="08B5FECD" w14:textId="109AFC82" w:rsidR="004E2DCF" w:rsidRDefault="004E2DCF" w:rsidP="004E2DCF">
            <w:r w:rsidRPr="005E1077">
              <w:rPr>
                <w:rFonts w:ascii="Times New Roman" w:eastAsia="Times New Roman" w:hAnsi="Times New Roman" w:cs="Times New Roman"/>
                <w:b/>
                <w:sz w:val="24"/>
                <w:szCs w:val="24"/>
              </w:rPr>
              <w:t>Special indication for the subject:</w:t>
            </w:r>
          </w:p>
        </w:tc>
        <w:tc>
          <w:tcPr>
            <w:tcW w:w="899" w:type="dxa"/>
            <w:tcBorders>
              <w:top w:val="single" w:sz="4" w:space="0" w:color="000000"/>
              <w:left w:val="nil"/>
              <w:bottom w:val="single" w:sz="4" w:space="0" w:color="000000"/>
              <w:right w:val="single" w:sz="4" w:space="0" w:color="000000"/>
            </w:tcBorders>
            <w:shd w:val="clear" w:color="auto" w:fill="B3B3B3"/>
          </w:tcPr>
          <w:p w14:paraId="48FCB1E0" w14:textId="77777777" w:rsidR="004E2DCF" w:rsidRDefault="004E2DCF" w:rsidP="004E2DCF"/>
        </w:tc>
      </w:tr>
      <w:tr w:rsidR="008643B3" w14:paraId="5B7983B7" w14:textId="77777777">
        <w:trPr>
          <w:trHeight w:val="551"/>
        </w:trPr>
        <w:tc>
          <w:tcPr>
            <w:tcW w:w="8748" w:type="dxa"/>
            <w:gridSpan w:val="5"/>
            <w:tcBorders>
              <w:top w:val="single" w:sz="4" w:space="0" w:color="000000"/>
              <w:left w:val="single" w:sz="4" w:space="0" w:color="000000"/>
              <w:bottom w:val="single" w:sz="33" w:space="0" w:color="B3B3B3"/>
              <w:right w:val="nil"/>
            </w:tcBorders>
            <w:vAlign w:val="center"/>
          </w:tcPr>
          <w:p w14:paraId="48A341C7" w14:textId="77777777" w:rsidR="008643B3" w:rsidRDefault="001A60A9">
            <w:r>
              <w:rPr>
                <w:rFonts w:ascii="Times New Roman" w:eastAsia="Times New Roman" w:hAnsi="Times New Roman" w:cs="Times New Roman"/>
                <w:sz w:val="26"/>
              </w:rPr>
              <w:t xml:space="preserve"> </w:t>
            </w:r>
          </w:p>
        </w:tc>
        <w:tc>
          <w:tcPr>
            <w:tcW w:w="899" w:type="dxa"/>
            <w:tcBorders>
              <w:top w:val="single" w:sz="4" w:space="0" w:color="000000"/>
              <w:left w:val="nil"/>
              <w:bottom w:val="single" w:sz="33" w:space="0" w:color="B3B3B3"/>
              <w:right w:val="single" w:sz="4" w:space="0" w:color="000000"/>
            </w:tcBorders>
          </w:tcPr>
          <w:p w14:paraId="3A1F3D25" w14:textId="77777777" w:rsidR="008643B3" w:rsidRDefault="008643B3"/>
        </w:tc>
      </w:tr>
      <w:tr w:rsidR="008643B3" w14:paraId="6B05166A" w14:textId="77777777">
        <w:trPr>
          <w:trHeight w:val="349"/>
        </w:trPr>
        <w:tc>
          <w:tcPr>
            <w:tcW w:w="8748" w:type="dxa"/>
            <w:gridSpan w:val="5"/>
            <w:tcBorders>
              <w:top w:val="single" w:sz="33" w:space="0" w:color="B3B3B3"/>
              <w:left w:val="single" w:sz="4" w:space="0" w:color="000000"/>
              <w:bottom w:val="single" w:sz="4" w:space="0" w:color="000000"/>
              <w:right w:val="nil"/>
            </w:tcBorders>
            <w:shd w:val="clear" w:color="auto" w:fill="B3B3B3"/>
          </w:tcPr>
          <w:p w14:paraId="5FBEE410" w14:textId="45261C06" w:rsidR="008643B3" w:rsidRDefault="004E2DCF">
            <w:r w:rsidRPr="004E2DCF">
              <w:rPr>
                <w:rFonts w:ascii="Times New Roman" w:eastAsia="Times New Roman" w:hAnsi="Times New Roman" w:cs="Times New Roman"/>
                <w:b/>
              </w:rPr>
              <w:t xml:space="preserve">Name and surname of the teacher who prepared the data: prof. </w:t>
            </w:r>
            <w:r>
              <w:rPr>
                <w:rFonts w:ascii="Times New Roman" w:eastAsia="Times New Roman" w:hAnsi="Times New Roman" w:cs="Times New Roman"/>
                <w:b/>
              </w:rPr>
              <w:t>d</w:t>
            </w:r>
            <w:r w:rsidRPr="004E2DCF">
              <w:rPr>
                <w:rFonts w:ascii="Times New Roman" w:eastAsia="Times New Roman" w:hAnsi="Times New Roman" w:cs="Times New Roman"/>
                <w:b/>
              </w:rPr>
              <w:t xml:space="preserve">r. </w:t>
            </w:r>
            <w:proofErr w:type="spellStart"/>
            <w:r w:rsidRPr="004E2DCF">
              <w:rPr>
                <w:rFonts w:ascii="Times New Roman" w:eastAsia="Times New Roman" w:hAnsi="Times New Roman" w:cs="Times New Roman"/>
                <w:b/>
              </w:rPr>
              <w:t>Željka</w:t>
            </w:r>
            <w:proofErr w:type="spellEnd"/>
            <w:r w:rsidRPr="004E2DCF">
              <w:rPr>
                <w:rFonts w:ascii="Times New Roman" w:eastAsia="Times New Roman" w:hAnsi="Times New Roman" w:cs="Times New Roman"/>
                <w:b/>
              </w:rPr>
              <w:t xml:space="preserve"> </w:t>
            </w:r>
            <w:proofErr w:type="spellStart"/>
            <w:r w:rsidRPr="004E2DCF">
              <w:rPr>
                <w:rFonts w:ascii="Times New Roman" w:eastAsia="Times New Roman" w:hAnsi="Times New Roman" w:cs="Times New Roman"/>
                <w:b/>
              </w:rPr>
              <w:t>Babić</w:t>
            </w:r>
            <w:proofErr w:type="spellEnd"/>
          </w:p>
        </w:tc>
        <w:tc>
          <w:tcPr>
            <w:tcW w:w="899" w:type="dxa"/>
            <w:tcBorders>
              <w:top w:val="single" w:sz="33" w:space="0" w:color="B3B3B3"/>
              <w:left w:val="nil"/>
              <w:bottom w:val="single" w:sz="4" w:space="0" w:color="000000"/>
              <w:right w:val="single" w:sz="4" w:space="0" w:color="000000"/>
            </w:tcBorders>
            <w:shd w:val="clear" w:color="auto" w:fill="B3B3B3"/>
          </w:tcPr>
          <w:p w14:paraId="394018D3" w14:textId="77777777" w:rsidR="008643B3" w:rsidRDefault="008643B3"/>
        </w:tc>
      </w:tr>
    </w:tbl>
    <w:p w14:paraId="3D39D074" w14:textId="77777777" w:rsidR="008643B3" w:rsidRDefault="001A60A9">
      <w:pPr>
        <w:spacing w:after="0"/>
        <w:ind w:left="360"/>
        <w:jc w:val="both"/>
      </w:pPr>
      <w:r>
        <w:rPr>
          <w:rFonts w:ascii="Times New Roman" w:eastAsia="Times New Roman" w:hAnsi="Times New Roman" w:cs="Times New Roman"/>
        </w:rPr>
        <w:t xml:space="preserve"> </w:t>
      </w:r>
      <w:r>
        <w:br w:type="page"/>
      </w:r>
    </w:p>
    <w:p w14:paraId="6DFEB400" w14:textId="77777777" w:rsidR="008643B3" w:rsidRDefault="001A60A9">
      <w:pPr>
        <w:spacing w:after="0"/>
        <w:ind w:left="360"/>
        <w:jc w:val="both"/>
      </w:pPr>
      <w:r>
        <w:rPr>
          <w:rFonts w:ascii="Times New Roman" w:eastAsia="Times New Roman" w:hAnsi="Times New Roman" w:cs="Times New Roman"/>
          <w:sz w:val="26"/>
        </w:rPr>
        <w:t xml:space="preserve"> </w:t>
      </w:r>
    </w:p>
    <w:p w14:paraId="5F4C573D" w14:textId="77777777" w:rsidR="008643B3" w:rsidRDefault="001A60A9">
      <w:pPr>
        <w:spacing w:after="0"/>
        <w:ind w:left="360"/>
        <w:jc w:val="both"/>
      </w:pPr>
      <w:r>
        <w:rPr>
          <w:rFonts w:ascii="Times New Roman" w:eastAsia="Times New Roman" w:hAnsi="Times New Roman" w:cs="Times New Roman"/>
          <w:sz w:val="26"/>
        </w:rPr>
        <w:t xml:space="preserve"> </w:t>
      </w:r>
    </w:p>
    <w:sectPr w:rsidR="008643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D17"/>
    <w:multiLevelType w:val="hybridMultilevel"/>
    <w:tmpl w:val="7DBCFD04"/>
    <w:lvl w:ilvl="0" w:tplc="388CE40A">
      <w:start w:val="1"/>
      <w:numFmt w:val="bullet"/>
      <w:lvlText w:val="-"/>
      <w:lvlJc w:val="left"/>
      <w:pPr>
        <w:ind w:left="283"/>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F98E6176">
      <w:start w:val="1"/>
      <w:numFmt w:val="bullet"/>
      <w:lvlText w:val="o"/>
      <w:lvlJc w:val="left"/>
      <w:pPr>
        <w:ind w:left="11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4E1E698A">
      <w:start w:val="1"/>
      <w:numFmt w:val="bullet"/>
      <w:lvlText w:val="▪"/>
      <w:lvlJc w:val="left"/>
      <w:pPr>
        <w:ind w:left="18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4D40E7FC">
      <w:start w:val="1"/>
      <w:numFmt w:val="bullet"/>
      <w:lvlText w:val="•"/>
      <w:lvlJc w:val="left"/>
      <w:pPr>
        <w:ind w:left="25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3858F366">
      <w:start w:val="1"/>
      <w:numFmt w:val="bullet"/>
      <w:lvlText w:val="o"/>
      <w:lvlJc w:val="left"/>
      <w:pPr>
        <w:ind w:left="331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2BDAB48C">
      <w:start w:val="1"/>
      <w:numFmt w:val="bullet"/>
      <w:lvlText w:val="▪"/>
      <w:lvlJc w:val="left"/>
      <w:pPr>
        <w:ind w:left="403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D0F26E42">
      <w:start w:val="1"/>
      <w:numFmt w:val="bullet"/>
      <w:lvlText w:val="•"/>
      <w:lvlJc w:val="left"/>
      <w:pPr>
        <w:ind w:left="47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7318006A">
      <w:start w:val="1"/>
      <w:numFmt w:val="bullet"/>
      <w:lvlText w:val="o"/>
      <w:lvlJc w:val="left"/>
      <w:pPr>
        <w:ind w:left="54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57EC6530">
      <w:start w:val="1"/>
      <w:numFmt w:val="bullet"/>
      <w:lvlText w:val="▪"/>
      <w:lvlJc w:val="left"/>
      <w:pPr>
        <w:ind w:left="61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2155709F"/>
    <w:multiLevelType w:val="hybridMultilevel"/>
    <w:tmpl w:val="97C6306A"/>
    <w:lvl w:ilvl="0" w:tplc="CC5677A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4B204">
      <w:start w:val="1"/>
      <w:numFmt w:val="bullet"/>
      <w:lvlText w:val="o"/>
      <w:lvlJc w:val="left"/>
      <w:pPr>
        <w:ind w:left="1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26DC0A">
      <w:start w:val="1"/>
      <w:numFmt w:val="bullet"/>
      <w:lvlText w:val="▪"/>
      <w:lvlJc w:val="left"/>
      <w:pPr>
        <w:ind w:left="1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9ED05A">
      <w:start w:val="1"/>
      <w:numFmt w:val="bullet"/>
      <w:lvlText w:val="•"/>
      <w:lvlJc w:val="left"/>
      <w:pPr>
        <w:ind w:left="2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42F15A">
      <w:start w:val="1"/>
      <w:numFmt w:val="bullet"/>
      <w:lvlText w:val="o"/>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125E4E">
      <w:start w:val="1"/>
      <w:numFmt w:val="bullet"/>
      <w:lvlText w:val="▪"/>
      <w:lvlJc w:val="left"/>
      <w:pPr>
        <w:ind w:left="4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30486E">
      <w:start w:val="1"/>
      <w:numFmt w:val="bullet"/>
      <w:lvlText w:val="•"/>
      <w:lvlJc w:val="left"/>
      <w:pPr>
        <w:ind w:left="4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6A747E">
      <w:start w:val="1"/>
      <w:numFmt w:val="bullet"/>
      <w:lvlText w:val="o"/>
      <w:lvlJc w:val="left"/>
      <w:pPr>
        <w:ind w:left="5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960C0A">
      <w:start w:val="1"/>
      <w:numFmt w:val="bullet"/>
      <w:lvlText w:val="▪"/>
      <w:lvlJc w:val="left"/>
      <w:pPr>
        <w:ind w:left="6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B3"/>
    <w:rsid w:val="001A60A9"/>
    <w:rsid w:val="004E2DCF"/>
    <w:rsid w:val="007D5B55"/>
    <w:rsid w:val="008643B3"/>
    <w:rsid w:val="00F9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1EB9"/>
  <w15:docId w15:val="{18DBF31E-E247-426F-9328-A75E9BAE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radanovic</dc:creator>
  <cp:keywords/>
  <cp:lastModifiedBy>Terra</cp:lastModifiedBy>
  <cp:revision>4</cp:revision>
  <dcterms:created xsi:type="dcterms:W3CDTF">2024-02-14T20:48:00Z</dcterms:created>
  <dcterms:modified xsi:type="dcterms:W3CDTF">2024-02-18T23:46:00Z</dcterms:modified>
</cp:coreProperties>
</file>