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1126"/>
        <w:gridCol w:w="458"/>
        <w:gridCol w:w="91"/>
        <w:gridCol w:w="91"/>
        <w:gridCol w:w="397"/>
        <w:gridCol w:w="598"/>
        <w:gridCol w:w="6629"/>
      </w:tblGrid>
      <w:tr w:rsidR="00912476" w:rsidRPr="00A65E11">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1C604C" w:rsidRPr="00A65E11" w:rsidRDefault="00912476">
            <w:pPr>
              <w:rPr>
                <w:rFonts w:ascii="Times New Roman" w:hAnsi="Times New Roman" w:cs="Times New Roman"/>
              </w:rPr>
            </w:pPr>
            <w:r w:rsidRPr="00A65E11">
              <w:rPr>
                <w:rFonts w:ascii="Times New Roman" w:hAnsi="Times New Roman" w:cs="Times New Roman"/>
                <w:noProof/>
              </w:rPr>
              <w:drawing>
                <wp:inline distT="0" distB="0" distL="0" distR="0" wp14:anchorId="5AE5D76F" wp14:editId="3E86A09B">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p>
        </w:tc>
        <w:tc>
          <w:tcPr>
            <w:tcW w:w="499" w:type="dxa"/>
            <w:vMerge w:val="restart"/>
            <w:tcBorders>
              <w:top w:val="single" w:sz="4" w:space="0" w:color="000000"/>
              <w:left w:val="single" w:sz="2" w:space="0" w:color="FFFFFF"/>
              <w:bottom w:val="single" w:sz="4" w:space="0" w:color="000000"/>
              <w:right w:val="nil"/>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1C604C" w:rsidRPr="00A65E11" w:rsidRDefault="001C604C">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1C604C" w:rsidRPr="00A65E11" w:rsidRDefault="001C604C">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1C604C" w:rsidRPr="00A65E11" w:rsidRDefault="003403AA">
            <w:pPr>
              <w:ind w:left="120"/>
              <w:jc w:val="center"/>
              <w:rPr>
                <w:rFonts w:ascii="Times New Roman" w:hAnsi="Times New Roman" w:cs="Times New Roman"/>
              </w:rPr>
            </w:pPr>
            <w:r w:rsidRPr="00A65E11">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1C604C" w:rsidRPr="00A65E11" w:rsidRDefault="00912476">
            <w:pPr>
              <w:ind w:left="1075"/>
              <w:rPr>
                <w:rFonts w:ascii="Times New Roman" w:hAnsi="Times New Roman" w:cs="Times New Roman"/>
              </w:rPr>
            </w:pPr>
            <w:r w:rsidRPr="00A65E11">
              <w:rPr>
                <w:rFonts w:ascii="Times New Roman" w:eastAsia="Times New Roman" w:hAnsi="Times New Roman" w:cs="Times New Roman"/>
                <w:b/>
                <w:sz w:val="23"/>
              </w:rPr>
              <w:t>UNIVERSITY OF BANJA LUKA</w:t>
            </w:r>
          </w:p>
          <w:p w:rsidR="001C604C" w:rsidRPr="00A65E11" w:rsidRDefault="003403AA">
            <w:pPr>
              <w:ind w:right="1187"/>
              <w:jc w:val="right"/>
              <w:rPr>
                <w:rFonts w:ascii="Times New Roman" w:hAnsi="Times New Roman" w:cs="Times New Roman"/>
              </w:rPr>
            </w:pPr>
            <w:r w:rsidRPr="00A65E11">
              <w:rPr>
                <w:rFonts w:ascii="Times New Roman" w:eastAsia="Times New Roman" w:hAnsi="Times New Roman" w:cs="Times New Roman"/>
                <w:b/>
                <w:sz w:val="15"/>
              </w:rPr>
              <w:t xml:space="preserve"> </w:t>
            </w:r>
          </w:p>
          <w:p w:rsidR="001C604C" w:rsidRPr="00A65E11" w:rsidRDefault="00912476">
            <w:pPr>
              <w:spacing w:after="53"/>
              <w:ind w:left="1349"/>
              <w:rPr>
                <w:rFonts w:ascii="Times New Roman" w:hAnsi="Times New Roman" w:cs="Times New Roman"/>
              </w:rPr>
            </w:pPr>
            <w:r w:rsidRPr="00A65E11">
              <w:rPr>
                <w:rFonts w:ascii="Times New Roman" w:eastAsia="Times New Roman" w:hAnsi="Times New Roman" w:cs="Times New Roman"/>
                <w:b/>
                <w:sz w:val="23"/>
              </w:rPr>
              <w:t>FACULTY OF PHILOLOGY</w:t>
            </w:r>
            <w:r w:rsidR="003403AA" w:rsidRPr="00A65E11">
              <w:rPr>
                <w:rFonts w:ascii="Times New Roman" w:eastAsia="Times New Roman" w:hAnsi="Times New Roman" w:cs="Times New Roman"/>
                <w:b/>
                <w:sz w:val="23"/>
              </w:rPr>
              <w:t xml:space="preserve"> </w:t>
            </w:r>
            <w:r w:rsidR="003403AA" w:rsidRPr="00A65E11">
              <w:rPr>
                <w:rFonts w:ascii="Times New Roman" w:eastAsia="Times New Roman" w:hAnsi="Times New Roman" w:cs="Times New Roman"/>
                <w:b/>
                <w:sz w:val="15"/>
              </w:rPr>
              <w:t xml:space="preserve"> </w:t>
            </w:r>
          </w:p>
          <w:p w:rsidR="001C604C" w:rsidRPr="00A65E11" w:rsidRDefault="003403AA">
            <w:pPr>
              <w:rPr>
                <w:rFonts w:ascii="Times New Roman" w:hAnsi="Times New Roman" w:cs="Times New Roman"/>
              </w:rPr>
            </w:pPr>
            <w:r w:rsidRPr="00A65E11">
              <w:rPr>
                <w:rFonts w:ascii="Times New Roman" w:eastAsia="Times New Roman" w:hAnsi="Times New Roman" w:cs="Times New Roman"/>
                <w:sz w:val="25"/>
              </w:rPr>
              <w:t xml:space="preserve"> </w:t>
            </w:r>
          </w:p>
        </w:tc>
      </w:tr>
      <w:tr w:rsidR="00912476" w:rsidRPr="00A65E11">
        <w:trPr>
          <w:trHeight w:val="1021"/>
        </w:trPr>
        <w:tc>
          <w:tcPr>
            <w:tcW w:w="0" w:type="auto"/>
            <w:vMerge/>
            <w:tcBorders>
              <w:top w:val="nil"/>
              <w:left w:val="single" w:sz="4" w:space="0" w:color="000000"/>
              <w:bottom w:val="single" w:sz="4" w:space="0" w:color="000000"/>
              <w:right w:val="single" w:sz="2" w:space="0" w:color="FFFFFF"/>
            </w:tcBorders>
          </w:tcPr>
          <w:p w:rsidR="001C604C" w:rsidRPr="00A65E11" w:rsidRDefault="001C604C">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1C604C" w:rsidRPr="00A65E11" w:rsidRDefault="001C604C">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1C604C" w:rsidRPr="00A65E11" w:rsidRDefault="001C604C">
            <w:pPr>
              <w:ind w:left="-499"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1C604C" w:rsidRPr="00A65E11" w:rsidRDefault="001C604C">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1C604C" w:rsidRPr="00A65E11" w:rsidRDefault="001C604C">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1C604C" w:rsidRPr="00A65E11" w:rsidRDefault="001C604C">
            <w:pPr>
              <w:rPr>
                <w:rFonts w:ascii="Times New Roman" w:hAnsi="Times New Roman" w:cs="Times New Roman"/>
              </w:rPr>
            </w:pPr>
          </w:p>
        </w:tc>
      </w:tr>
      <w:tr w:rsidR="00912476" w:rsidRPr="00A65E11">
        <w:trPr>
          <w:trHeight w:val="281"/>
        </w:trPr>
        <w:tc>
          <w:tcPr>
            <w:tcW w:w="1231" w:type="dxa"/>
            <w:gridSpan w:val="3"/>
            <w:tcBorders>
              <w:top w:val="single" w:sz="4" w:space="0" w:color="000000"/>
              <w:left w:val="single" w:sz="4" w:space="0" w:color="000000"/>
              <w:bottom w:val="single" w:sz="4" w:space="0" w:color="000000"/>
              <w:right w:val="nil"/>
            </w:tcBorders>
          </w:tcPr>
          <w:p w:rsidR="001C604C" w:rsidRPr="00A65E11" w:rsidRDefault="001C604C">
            <w:pPr>
              <w:rPr>
                <w:rFonts w:ascii="Times New Roman" w:hAnsi="Times New Roman" w:cs="Times New Roman"/>
              </w:rPr>
            </w:pPr>
          </w:p>
        </w:tc>
        <w:tc>
          <w:tcPr>
            <w:tcW w:w="8159" w:type="dxa"/>
            <w:gridSpan w:val="4"/>
            <w:tcBorders>
              <w:top w:val="single" w:sz="4" w:space="0" w:color="000000"/>
              <w:left w:val="nil"/>
              <w:bottom w:val="single" w:sz="4" w:space="0" w:color="000000"/>
              <w:right w:val="single" w:sz="4" w:space="0" w:color="000000"/>
            </w:tcBorders>
          </w:tcPr>
          <w:p w:rsidR="001C604C" w:rsidRPr="00A65E11" w:rsidRDefault="00912476">
            <w:pPr>
              <w:ind w:left="1918"/>
              <w:rPr>
                <w:rFonts w:ascii="Times New Roman" w:hAnsi="Times New Roman" w:cs="Times New Roman"/>
              </w:rPr>
            </w:pPr>
            <w:r w:rsidRPr="00A65E11">
              <w:rPr>
                <w:rFonts w:ascii="Times New Roman" w:eastAsia="Times New Roman" w:hAnsi="Times New Roman" w:cs="Times New Roman"/>
                <w:b/>
                <w:sz w:val="23"/>
              </w:rPr>
              <w:t>Doctoral academic studies</w:t>
            </w:r>
            <w:r w:rsidR="003403AA" w:rsidRPr="00A65E11">
              <w:rPr>
                <w:rFonts w:ascii="Times New Roman" w:eastAsia="Times New Roman" w:hAnsi="Times New Roman" w:cs="Times New Roman"/>
                <w:b/>
                <w:sz w:val="23"/>
              </w:rPr>
              <w:t xml:space="preserve"> </w:t>
            </w:r>
          </w:p>
        </w:tc>
      </w:tr>
      <w:tr w:rsidR="00912476" w:rsidRPr="00A65E11">
        <w:trPr>
          <w:trHeight w:val="271"/>
        </w:trPr>
        <w:tc>
          <w:tcPr>
            <w:tcW w:w="1231" w:type="dxa"/>
            <w:gridSpan w:val="3"/>
            <w:tcBorders>
              <w:top w:val="single" w:sz="4" w:space="0" w:color="000000"/>
              <w:left w:val="single" w:sz="4" w:space="0" w:color="000000"/>
              <w:bottom w:val="single" w:sz="4" w:space="0" w:color="000000"/>
              <w:right w:val="nil"/>
            </w:tcBorders>
          </w:tcPr>
          <w:p w:rsidR="001C604C" w:rsidRPr="00A65E11" w:rsidRDefault="00912476" w:rsidP="00912476">
            <w:pPr>
              <w:ind w:left="106"/>
              <w:jc w:val="both"/>
              <w:rPr>
                <w:rFonts w:ascii="Times New Roman" w:hAnsi="Times New Roman" w:cs="Times New Roman"/>
              </w:rPr>
            </w:pPr>
            <w:r w:rsidRPr="00A65E11">
              <w:rPr>
                <w:rFonts w:ascii="Times New Roman" w:eastAsia="Times New Roman" w:hAnsi="Times New Roman" w:cs="Times New Roman"/>
                <w:b/>
                <w:sz w:val="23"/>
              </w:rPr>
              <w:t>Study program</w:t>
            </w:r>
          </w:p>
        </w:tc>
        <w:tc>
          <w:tcPr>
            <w:tcW w:w="1156" w:type="dxa"/>
            <w:gridSpan w:val="3"/>
            <w:tcBorders>
              <w:top w:val="single" w:sz="4" w:space="0" w:color="000000"/>
              <w:left w:val="nil"/>
              <w:bottom w:val="single" w:sz="4" w:space="0" w:color="000000"/>
              <w:right w:val="single" w:sz="4" w:space="0" w:color="000000"/>
            </w:tcBorders>
          </w:tcPr>
          <w:p w:rsidR="001C604C" w:rsidRPr="00A65E11" w:rsidRDefault="003403AA">
            <w:pPr>
              <w:ind w:left="-18"/>
              <w:jc w:val="both"/>
              <w:rPr>
                <w:rFonts w:ascii="Times New Roman" w:hAnsi="Times New Roman" w:cs="Times New Roman"/>
              </w:rPr>
            </w:pPr>
            <w:r w:rsidRPr="00A65E11">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912476">
            <w:pPr>
              <w:ind w:left="100"/>
              <w:rPr>
                <w:rFonts w:ascii="Times New Roman" w:hAnsi="Times New Roman" w:cs="Times New Roman"/>
              </w:rPr>
            </w:pPr>
            <w:r w:rsidRPr="00A65E11">
              <w:rPr>
                <w:rFonts w:ascii="Times New Roman" w:eastAsia="Times New Roman" w:hAnsi="Times New Roman" w:cs="Times New Roman"/>
                <w:b/>
                <w:sz w:val="23"/>
              </w:rPr>
              <w:t>Science of language / Science of literature</w:t>
            </w:r>
          </w:p>
        </w:tc>
      </w:tr>
    </w:tbl>
    <w:p w:rsidR="001C604C" w:rsidRPr="00A65E11" w:rsidRDefault="003403AA">
      <w:pPr>
        <w:spacing w:after="0"/>
        <w:ind w:left="312"/>
        <w:jc w:val="both"/>
        <w:rPr>
          <w:rFonts w:ascii="Times New Roman" w:hAnsi="Times New Roman" w:cs="Times New Roman"/>
        </w:rPr>
      </w:pPr>
      <w:r w:rsidRPr="00A65E11">
        <w:rPr>
          <w:rFonts w:ascii="Times New Roman" w:eastAsia="Times New Roman" w:hAnsi="Times New Roman" w:cs="Times New Roman"/>
          <w:sz w:val="25"/>
        </w:rPr>
        <w:t xml:space="preserve"> </w:t>
      </w:r>
    </w:p>
    <w:tbl>
      <w:tblPr>
        <w:tblStyle w:val="TableGrid"/>
        <w:tblW w:w="9386" w:type="dxa"/>
        <w:tblInd w:w="210" w:type="dxa"/>
        <w:tblCellMar>
          <w:top w:w="47" w:type="dxa"/>
          <w:right w:w="79" w:type="dxa"/>
        </w:tblCellMar>
        <w:tblLook w:val="04A0" w:firstRow="1" w:lastRow="0" w:firstColumn="1" w:lastColumn="0" w:noHBand="0" w:noVBand="1"/>
      </w:tblPr>
      <w:tblGrid>
        <w:gridCol w:w="1796"/>
        <w:gridCol w:w="1800"/>
        <w:gridCol w:w="1589"/>
        <w:gridCol w:w="1574"/>
        <w:gridCol w:w="2627"/>
      </w:tblGrid>
      <w:tr w:rsidR="001C604C" w:rsidRPr="00A65E11">
        <w:trPr>
          <w:trHeight w:val="247"/>
        </w:trPr>
        <w:tc>
          <w:tcPr>
            <w:tcW w:w="1796" w:type="dxa"/>
            <w:tcBorders>
              <w:top w:val="single" w:sz="4" w:space="0" w:color="000000"/>
              <w:left w:val="single" w:sz="4" w:space="0" w:color="000000"/>
              <w:bottom w:val="single" w:sz="4" w:space="0" w:color="000000"/>
              <w:right w:val="single" w:sz="4" w:space="0" w:color="000000"/>
            </w:tcBorders>
          </w:tcPr>
          <w:p w:rsidR="001C604C" w:rsidRPr="00A65E11" w:rsidRDefault="00912476">
            <w:pPr>
              <w:ind w:left="102"/>
              <w:jc w:val="both"/>
              <w:rPr>
                <w:rFonts w:ascii="Times New Roman" w:hAnsi="Times New Roman" w:cs="Times New Roman"/>
              </w:rPr>
            </w:pPr>
            <w:r w:rsidRPr="00A65E11">
              <w:rPr>
                <w:rFonts w:ascii="Times New Roman" w:eastAsia="Times New Roman" w:hAnsi="Times New Roman" w:cs="Times New Roman"/>
                <w:b/>
                <w:sz w:val="21"/>
              </w:rPr>
              <w:t>Subject</w:t>
            </w:r>
            <w:r w:rsidR="003403AA" w:rsidRPr="00A65E11">
              <w:rPr>
                <w:rFonts w:ascii="Times New Roman" w:eastAsia="Times New Roman" w:hAnsi="Times New Roman" w:cs="Times New Roman"/>
                <w:b/>
                <w:sz w:val="21"/>
              </w:rPr>
              <w:t xml:space="preserve"> </w:t>
            </w:r>
          </w:p>
        </w:tc>
        <w:tc>
          <w:tcPr>
            <w:tcW w:w="4963" w:type="dxa"/>
            <w:gridSpan w:val="3"/>
            <w:tcBorders>
              <w:top w:val="single" w:sz="4" w:space="0" w:color="000000"/>
              <w:left w:val="single" w:sz="4" w:space="0" w:color="000000"/>
              <w:bottom w:val="single" w:sz="4" w:space="0" w:color="000000"/>
              <w:right w:val="nil"/>
            </w:tcBorders>
            <w:shd w:val="clear" w:color="auto" w:fill="B3B3B3"/>
          </w:tcPr>
          <w:p w:rsidR="001C604C" w:rsidRPr="00A65E11" w:rsidRDefault="00912476">
            <w:pPr>
              <w:ind w:left="106"/>
              <w:rPr>
                <w:rFonts w:ascii="Times New Roman" w:hAnsi="Times New Roman" w:cs="Times New Roman"/>
              </w:rPr>
            </w:pPr>
            <w:r w:rsidRPr="00A65E11">
              <w:rPr>
                <w:rFonts w:ascii="Times New Roman" w:eastAsia="Times New Roman" w:hAnsi="Times New Roman" w:cs="Times New Roman"/>
                <w:b/>
                <w:sz w:val="21"/>
              </w:rPr>
              <w:t>Narratology</w:t>
            </w:r>
            <w:r w:rsidR="003403AA" w:rsidRPr="00A65E11">
              <w:rPr>
                <w:rFonts w:ascii="Times New Roman" w:eastAsia="Times New Roman" w:hAnsi="Times New Roman" w:cs="Times New Roman"/>
                <w:b/>
                <w:sz w:val="21"/>
              </w:rPr>
              <w:t xml:space="preserve"> </w:t>
            </w:r>
          </w:p>
        </w:tc>
        <w:tc>
          <w:tcPr>
            <w:tcW w:w="2627" w:type="dxa"/>
            <w:tcBorders>
              <w:top w:val="single" w:sz="4" w:space="0" w:color="000000"/>
              <w:left w:val="nil"/>
              <w:bottom w:val="single" w:sz="4" w:space="0" w:color="000000"/>
              <w:right w:val="single" w:sz="4" w:space="0" w:color="000000"/>
            </w:tcBorders>
            <w:shd w:val="clear" w:color="auto" w:fill="B3B3B3"/>
          </w:tcPr>
          <w:p w:rsidR="001C604C" w:rsidRPr="00A65E11" w:rsidRDefault="001C604C">
            <w:pPr>
              <w:rPr>
                <w:rFonts w:ascii="Times New Roman" w:hAnsi="Times New Roman" w:cs="Times New Roman"/>
              </w:rPr>
            </w:pPr>
          </w:p>
        </w:tc>
      </w:tr>
      <w:tr w:rsidR="001C604C" w:rsidRPr="00A65E11">
        <w:trPr>
          <w:trHeight w:val="505"/>
        </w:trPr>
        <w:tc>
          <w:tcPr>
            <w:tcW w:w="1796" w:type="dxa"/>
            <w:tcBorders>
              <w:top w:val="single" w:sz="4" w:space="0" w:color="000000"/>
              <w:left w:val="single" w:sz="4" w:space="0" w:color="000000"/>
              <w:bottom w:val="single" w:sz="4" w:space="0" w:color="000000"/>
              <w:right w:val="single" w:sz="4" w:space="0" w:color="000000"/>
            </w:tcBorders>
          </w:tcPr>
          <w:p w:rsidR="001C604C" w:rsidRPr="00A65E11" w:rsidRDefault="00912476" w:rsidP="00912476">
            <w:pPr>
              <w:ind w:left="102"/>
              <w:rPr>
                <w:rFonts w:ascii="Times New Roman" w:hAnsi="Times New Roman" w:cs="Times New Roman"/>
              </w:rPr>
            </w:pPr>
            <w:r w:rsidRPr="00A65E11">
              <w:rPr>
                <w:rFonts w:ascii="Times New Roman" w:eastAsia="Times New Roman" w:hAnsi="Times New Roman" w:cs="Times New Roman"/>
                <w:b/>
                <w:sz w:val="21"/>
              </w:rPr>
              <w:t>Subject code</w:t>
            </w:r>
            <w:r w:rsidR="003403AA" w:rsidRPr="00A65E11">
              <w:rPr>
                <w:rFonts w:ascii="Times New Roman" w:eastAsia="Times New Roman" w:hAnsi="Times New Roman" w:cs="Times New Roman"/>
                <w:b/>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C604C" w:rsidRPr="00A65E11" w:rsidRDefault="00912476" w:rsidP="00912476">
            <w:pPr>
              <w:ind w:left="110"/>
              <w:jc w:val="center"/>
              <w:rPr>
                <w:rFonts w:ascii="Times New Roman" w:hAnsi="Times New Roman" w:cs="Times New Roman"/>
              </w:rPr>
            </w:pPr>
            <w:r w:rsidRPr="00A65E11">
              <w:rPr>
                <w:rFonts w:ascii="Times New Roman" w:eastAsia="Times New Roman" w:hAnsi="Times New Roman" w:cs="Times New Roman"/>
                <w:b/>
                <w:sz w:val="21"/>
              </w:rPr>
              <w:t>Subject status</w:t>
            </w:r>
            <w:r w:rsidR="003403AA" w:rsidRPr="00A65E11">
              <w:rPr>
                <w:rFonts w:ascii="Times New Roman" w:eastAsia="Times New Roman" w:hAnsi="Times New Roman" w:cs="Times New Roman"/>
                <w:b/>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1C604C" w:rsidRPr="00A65E11" w:rsidRDefault="00912476" w:rsidP="00912476">
            <w:pPr>
              <w:ind w:left="73"/>
              <w:jc w:val="center"/>
              <w:rPr>
                <w:rFonts w:ascii="Times New Roman" w:hAnsi="Times New Roman" w:cs="Times New Roman"/>
              </w:rPr>
            </w:pPr>
            <w:r w:rsidRPr="00A65E11">
              <w:rPr>
                <w:rFonts w:ascii="Times New Roman" w:eastAsia="Times New Roman" w:hAnsi="Times New Roman" w:cs="Times New Roman"/>
                <w:b/>
                <w:sz w:val="21"/>
              </w:rPr>
              <w:t>Semester</w:t>
            </w:r>
            <w:r w:rsidR="003403AA" w:rsidRPr="00A65E11">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1C604C" w:rsidRPr="00A65E11" w:rsidRDefault="00912476" w:rsidP="00912476">
            <w:pPr>
              <w:ind w:left="168"/>
              <w:rPr>
                <w:rFonts w:ascii="Times New Roman" w:hAnsi="Times New Roman" w:cs="Times New Roman"/>
              </w:rPr>
            </w:pPr>
            <w:r w:rsidRPr="00A65E11">
              <w:rPr>
                <w:rFonts w:ascii="Times New Roman" w:eastAsia="Times New Roman" w:hAnsi="Times New Roman" w:cs="Times New Roman"/>
                <w:b/>
                <w:sz w:val="21"/>
              </w:rPr>
              <w:t>Class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1C604C" w:rsidRPr="00A65E11" w:rsidRDefault="00912476" w:rsidP="00912476">
            <w:pPr>
              <w:ind w:left="70"/>
              <w:jc w:val="center"/>
              <w:rPr>
                <w:rFonts w:ascii="Times New Roman" w:hAnsi="Times New Roman" w:cs="Times New Roman"/>
              </w:rPr>
            </w:pPr>
            <w:r w:rsidRPr="00A65E11">
              <w:rPr>
                <w:rFonts w:ascii="Times New Roman" w:eastAsia="Times New Roman" w:hAnsi="Times New Roman" w:cs="Times New Roman"/>
                <w:b/>
                <w:sz w:val="21"/>
              </w:rPr>
              <w:t xml:space="preserve">Number of </w:t>
            </w:r>
            <w:proofErr w:type="spellStart"/>
            <w:r w:rsidRPr="00A65E11">
              <w:rPr>
                <w:rFonts w:ascii="Times New Roman" w:eastAsia="Times New Roman" w:hAnsi="Times New Roman" w:cs="Times New Roman"/>
                <w:b/>
                <w:sz w:val="21"/>
              </w:rPr>
              <w:t>ECTS</w:t>
            </w:r>
            <w:proofErr w:type="spellEnd"/>
            <w:r w:rsidRPr="00A65E11">
              <w:rPr>
                <w:rFonts w:ascii="Times New Roman" w:eastAsia="Times New Roman" w:hAnsi="Times New Roman" w:cs="Times New Roman"/>
                <w:b/>
                <w:sz w:val="21"/>
              </w:rPr>
              <w:t xml:space="preserve"> points</w:t>
            </w:r>
          </w:p>
        </w:tc>
      </w:tr>
      <w:tr w:rsidR="001C604C" w:rsidRPr="00A65E11">
        <w:trPr>
          <w:trHeight w:val="260"/>
        </w:trPr>
        <w:tc>
          <w:tcPr>
            <w:tcW w:w="1796"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102"/>
              <w:rPr>
                <w:rFonts w:ascii="Times New Roman" w:hAnsi="Times New Roman" w:cs="Times New Roman"/>
              </w:rPr>
            </w:pPr>
            <w:r w:rsidRPr="00A65E11">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C604C" w:rsidRPr="00A65E11" w:rsidRDefault="00912476">
            <w:pPr>
              <w:ind w:left="82"/>
              <w:jc w:val="center"/>
              <w:rPr>
                <w:rFonts w:ascii="Times New Roman" w:hAnsi="Times New Roman" w:cs="Times New Roman"/>
              </w:rPr>
            </w:pPr>
            <w:r w:rsidRPr="00A65E11">
              <w:rPr>
                <w:rFonts w:ascii="Times New Roman" w:eastAsia="Times New Roman" w:hAnsi="Times New Roman" w:cs="Times New Roman"/>
                <w:sz w:val="21"/>
              </w:rPr>
              <w:t>obligatory</w:t>
            </w:r>
            <w:r w:rsidR="003403AA" w:rsidRPr="00A65E11">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75"/>
              <w:jc w:val="center"/>
              <w:rPr>
                <w:rFonts w:ascii="Times New Roman" w:hAnsi="Times New Roman" w:cs="Times New Roman"/>
              </w:rPr>
            </w:pPr>
            <w:r w:rsidRPr="00A65E11">
              <w:rPr>
                <w:rFonts w:ascii="Times New Roman" w:eastAsia="Times New Roman" w:hAnsi="Times New Roman" w:cs="Times New Roman"/>
                <w:sz w:val="21"/>
              </w:rPr>
              <w:t xml:space="preserve">1. </w:t>
            </w:r>
          </w:p>
        </w:tc>
        <w:tc>
          <w:tcPr>
            <w:tcW w:w="1574"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71"/>
              <w:jc w:val="center"/>
              <w:rPr>
                <w:rFonts w:ascii="Times New Roman" w:hAnsi="Times New Roman" w:cs="Times New Roman"/>
              </w:rPr>
            </w:pPr>
            <w:r w:rsidRPr="00A65E11">
              <w:rPr>
                <w:rFonts w:ascii="Times New Roman" w:eastAsia="Times New Roman" w:hAnsi="Times New Roman" w:cs="Times New Roman"/>
                <w:sz w:val="21"/>
              </w:rPr>
              <w:t xml:space="preserve">2 + 0 </w:t>
            </w:r>
          </w:p>
        </w:tc>
        <w:tc>
          <w:tcPr>
            <w:tcW w:w="2627"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70"/>
              <w:jc w:val="center"/>
              <w:rPr>
                <w:rFonts w:ascii="Times New Roman" w:hAnsi="Times New Roman" w:cs="Times New Roman"/>
              </w:rPr>
            </w:pPr>
            <w:r w:rsidRPr="00A65E11">
              <w:rPr>
                <w:rFonts w:ascii="Times New Roman" w:eastAsia="Times New Roman" w:hAnsi="Times New Roman" w:cs="Times New Roman"/>
                <w:sz w:val="21"/>
              </w:rPr>
              <w:t xml:space="preserve">15 </w:t>
            </w:r>
          </w:p>
        </w:tc>
      </w:tr>
      <w:tr w:rsidR="001C604C" w:rsidRPr="00A65E11">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912476" w:rsidP="00912476">
            <w:pPr>
              <w:ind w:left="102"/>
              <w:rPr>
                <w:rFonts w:ascii="Times New Roman" w:hAnsi="Times New Roman" w:cs="Times New Roman"/>
              </w:rPr>
            </w:pPr>
            <w:r w:rsidRPr="00A65E11">
              <w:rPr>
                <w:rFonts w:ascii="Times New Roman" w:eastAsia="Times New Roman" w:hAnsi="Times New Roman" w:cs="Times New Roman"/>
                <w:b/>
                <w:sz w:val="21"/>
              </w:rPr>
              <w:t>Professors</w:t>
            </w:r>
          </w:p>
        </w:tc>
        <w:tc>
          <w:tcPr>
            <w:tcW w:w="4963" w:type="dxa"/>
            <w:gridSpan w:val="3"/>
            <w:tcBorders>
              <w:top w:val="single" w:sz="4" w:space="0" w:color="000000"/>
              <w:left w:val="single" w:sz="4" w:space="0" w:color="000000"/>
              <w:bottom w:val="single" w:sz="4" w:space="0" w:color="000000"/>
              <w:right w:val="nil"/>
            </w:tcBorders>
          </w:tcPr>
          <w:p w:rsidR="001C604C" w:rsidRPr="00A65E11" w:rsidRDefault="00A65E11">
            <w:pPr>
              <w:ind w:left="106"/>
              <w:jc w:val="both"/>
              <w:rPr>
                <w:rFonts w:ascii="Times New Roman" w:hAnsi="Times New Roman" w:cs="Times New Roman"/>
              </w:rPr>
            </w:pPr>
            <w:r w:rsidRPr="00A65E11">
              <w:rPr>
                <w:rFonts w:ascii="Times New Roman" w:eastAsia="Times New Roman" w:hAnsi="Times New Roman" w:cs="Times New Roman"/>
                <w:sz w:val="21"/>
              </w:rPr>
              <w:t xml:space="preserve">Dr. </w:t>
            </w:r>
            <w:proofErr w:type="spellStart"/>
            <w:r w:rsidRPr="00A65E11">
              <w:rPr>
                <w:rFonts w:ascii="Times New Roman" w:eastAsia="Times New Roman" w:hAnsi="Times New Roman" w:cs="Times New Roman"/>
                <w:sz w:val="21"/>
              </w:rPr>
              <w:t>Snežana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Milosavljević-Milić</w:t>
            </w:r>
            <w:proofErr w:type="spellEnd"/>
            <w:r w:rsidRPr="00A65E11">
              <w:rPr>
                <w:rFonts w:ascii="Times New Roman" w:eastAsia="Times New Roman" w:hAnsi="Times New Roman" w:cs="Times New Roman"/>
                <w:sz w:val="21"/>
              </w:rPr>
              <w:t>, full professor</w:t>
            </w:r>
          </w:p>
        </w:tc>
        <w:tc>
          <w:tcPr>
            <w:tcW w:w="2627" w:type="dxa"/>
            <w:tcBorders>
              <w:top w:val="single" w:sz="4" w:space="0" w:color="000000"/>
              <w:left w:val="nil"/>
              <w:bottom w:val="single" w:sz="4" w:space="0" w:color="000000"/>
              <w:right w:val="single" w:sz="4" w:space="0" w:color="000000"/>
            </w:tcBorders>
          </w:tcPr>
          <w:p w:rsidR="001C604C" w:rsidRPr="00A65E11" w:rsidRDefault="001C604C">
            <w:pPr>
              <w:ind w:left="-83"/>
              <w:rPr>
                <w:rFonts w:ascii="Times New Roman" w:hAnsi="Times New Roman" w:cs="Times New Roman"/>
              </w:rPr>
            </w:pPr>
          </w:p>
        </w:tc>
      </w:tr>
    </w:tbl>
    <w:p w:rsidR="001C604C" w:rsidRPr="00A65E11" w:rsidRDefault="003403AA">
      <w:pPr>
        <w:spacing w:after="0"/>
        <w:ind w:left="312"/>
        <w:jc w:val="both"/>
        <w:rPr>
          <w:rFonts w:ascii="Times New Roman" w:hAnsi="Times New Roman" w:cs="Times New Roman"/>
        </w:rPr>
      </w:pPr>
      <w:r w:rsidRPr="00A65E11">
        <w:rPr>
          <w:rFonts w:ascii="Times New Roman" w:eastAsia="Times New Roman" w:hAnsi="Times New Roman" w:cs="Times New Roman"/>
          <w:sz w:val="21"/>
        </w:rPr>
        <w:t xml:space="preserve"> </w:t>
      </w:r>
    </w:p>
    <w:tbl>
      <w:tblPr>
        <w:tblStyle w:val="TableGrid"/>
        <w:tblW w:w="9566" w:type="dxa"/>
        <w:tblInd w:w="210" w:type="dxa"/>
        <w:tblCellMar>
          <w:top w:w="42" w:type="dxa"/>
          <w:left w:w="101" w:type="dxa"/>
          <w:right w:w="5" w:type="dxa"/>
        </w:tblCellMar>
        <w:tblLook w:val="04A0" w:firstRow="1" w:lastRow="0" w:firstColumn="1" w:lastColumn="0" w:noHBand="0" w:noVBand="1"/>
      </w:tblPr>
      <w:tblGrid>
        <w:gridCol w:w="2511"/>
        <w:gridCol w:w="1358"/>
        <w:gridCol w:w="1666"/>
        <w:gridCol w:w="1051"/>
        <w:gridCol w:w="1925"/>
        <w:gridCol w:w="1055"/>
      </w:tblGrid>
      <w:tr w:rsidR="001C604C" w:rsidRPr="00A65E11" w:rsidTr="00A65E11">
        <w:trPr>
          <w:trHeight w:val="255"/>
        </w:trPr>
        <w:tc>
          <w:tcPr>
            <w:tcW w:w="9566" w:type="dxa"/>
            <w:gridSpan w:val="6"/>
            <w:tcBorders>
              <w:top w:val="single" w:sz="4" w:space="0" w:color="000000"/>
              <w:left w:val="single" w:sz="4" w:space="0" w:color="000000"/>
              <w:bottom w:val="single" w:sz="2" w:space="0" w:color="000000"/>
              <w:right w:val="single" w:sz="4" w:space="0" w:color="000000"/>
            </w:tcBorders>
            <w:shd w:val="clear" w:color="auto" w:fill="B3B3B3"/>
          </w:tcPr>
          <w:p w:rsidR="001C604C" w:rsidRPr="00A65E11" w:rsidRDefault="00912476">
            <w:pPr>
              <w:rPr>
                <w:rFonts w:ascii="Times New Roman" w:hAnsi="Times New Roman" w:cs="Times New Roman"/>
              </w:rPr>
            </w:pPr>
            <w:r w:rsidRPr="00A65E11">
              <w:rPr>
                <w:rFonts w:ascii="Times New Roman" w:eastAsia="Times New Roman" w:hAnsi="Times New Roman" w:cs="Times New Roman"/>
                <w:b/>
                <w:sz w:val="21"/>
              </w:rPr>
              <w:t>Conditioned by other subjects</w:t>
            </w:r>
          </w:p>
        </w:tc>
      </w:tr>
      <w:tr w:rsidR="001C604C" w:rsidRPr="00A65E11" w:rsidTr="00A65E11">
        <w:trPr>
          <w:trHeight w:val="506"/>
        </w:trPr>
        <w:tc>
          <w:tcPr>
            <w:tcW w:w="9566" w:type="dxa"/>
            <w:gridSpan w:val="6"/>
            <w:tcBorders>
              <w:top w:val="single" w:sz="2" w:space="0" w:color="000000"/>
              <w:left w:val="single" w:sz="4" w:space="0" w:color="000000"/>
              <w:bottom w:val="single" w:sz="4" w:space="0" w:color="000000"/>
              <w:right w:val="single" w:sz="4" w:space="0" w:color="000000"/>
            </w:tcBorders>
          </w:tcPr>
          <w:p w:rsidR="001C604C" w:rsidRPr="00A65E11" w:rsidRDefault="00912476">
            <w:pPr>
              <w:rPr>
                <w:rFonts w:ascii="Times New Roman" w:hAnsi="Times New Roman" w:cs="Times New Roman"/>
              </w:rPr>
            </w:pPr>
            <w:r w:rsidRPr="00A65E11">
              <w:rPr>
                <w:rFonts w:ascii="Times New Roman" w:eastAsia="Times New Roman" w:hAnsi="Times New Roman" w:cs="Times New Roman"/>
                <w:sz w:val="21"/>
              </w:rPr>
              <w:t>No</w:t>
            </w:r>
            <w:r w:rsidR="003403AA" w:rsidRPr="00A65E11">
              <w:rPr>
                <w:rFonts w:ascii="Times New Roman" w:eastAsia="Times New Roman" w:hAnsi="Times New Roman" w:cs="Times New Roman"/>
                <w:sz w:val="21"/>
              </w:rPr>
              <w:t xml:space="preserve"> </w:t>
            </w:r>
          </w:p>
          <w:p w:rsidR="001C604C" w:rsidRPr="00A65E11" w:rsidRDefault="003403AA">
            <w:pPr>
              <w:rPr>
                <w:rFonts w:ascii="Times New Roman" w:hAnsi="Times New Roman" w:cs="Times New Roman"/>
              </w:rPr>
            </w:pPr>
            <w:r w:rsidRPr="00A65E11">
              <w:rPr>
                <w:rFonts w:ascii="Times New Roman" w:eastAsia="Times New Roman" w:hAnsi="Times New Roman" w:cs="Times New Roman"/>
                <w:sz w:val="21"/>
              </w:rPr>
              <w:t xml:space="preserve"> </w:t>
            </w:r>
          </w:p>
        </w:tc>
      </w:tr>
      <w:tr w:rsidR="001C604C" w:rsidRPr="00A65E11" w:rsidTr="00A65E11">
        <w:trPr>
          <w:trHeight w:val="25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912476" w:rsidP="00912476">
            <w:pPr>
              <w:rPr>
                <w:rFonts w:ascii="Times New Roman" w:hAnsi="Times New Roman" w:cs="Times New Roman"/>
              </w:rPr>
            </w:pPr>
            <w:r w:rsidRPr="00A65E11">
              <w:rPr>
                <w:rFonts w:ascii="Times New Roman" w:eastAsia="Times New Roman" w:hAnsi="Times New Roman" w:cs="Times New Roman"/>
                <w:b/>
                <w:sz w:val="21"/>
              </w:rPr>
              <w:t>Objectives of studying the subject</w:t>
            </w:r>
          </w:p>
        </w:tc>
      </w:tr>
      <w:tr w:rsidR="001C604C" w:rsidRPr="00A65E11" w:rsidTr="00A65E11">
        <w:trPr>
          <w:trHeight w:val="1246"/>
        </w:trPr>
        <w:tc>
          <w:tcPr>
            <w:tcW w:w="9566" w:type="dxa"/>
            <w:gridSpan w:val="6"/>
            <w:tcBorders>
              <w:top w:val="single" w:sz="4" w:space="0" w:color="000000"/>
              <w:left w:val="single" w:sz="4" w:space="0" w:color="000000"/>
              <w:bottom w:val="single" w:sz="4" w:space="0" w:color="000000"/>
              <w:right w:val="single" w:sz="4" w:space="0" w:color="000000"/>
            </w:tcBorders>
          </w:tcPr>
          <w:p w:rsidR="00912476" w:rsidRPr="00A65E11" w:rsidRDefault="00912476" w:rsidP="00912476">
            <w:pPr>
              <w:rPr>
                <w:rFonts w:ascii="Times New Roman" w:eastAsia="Times New Roman" w:hAnsi="Times New Roman" w:cs="Times New Roman"/>
                <w:sz w:val="21"/>
              </w:rPr>
            </w:pPr>
          </w:p>
          <w:p w:rsidR="001C604C" w:rsidRPr="00A65E11" w:rsidRDefault="00912476" w:rsidP="00912476">
            <w:pPr>
              <w:rPr>
                <w:rFonts w:ascii="Times New Roman" w:hAnsi="Times New Roman" w:cs="Times New Roman"/>
              </w:rPr>
            </w:pPr>
            <w:r w:rsidRPr="00A65E11">
              <w:rPr>
                <w:rFonts w:ascii="Times New Roman" w:eastAsia="Times New Roman" w:hAnsi="Times New Roman" w:cs="Times New Roman"/>
                <w:sz w:val="21"/>
              </w:rPr>
              <w:t>Introduction to modern methods of narratological study of literature and other discursive practices. Acquiring knowledge about basic narratological concepts. Observing the importance, place and scope of narratology in relation to other scientific disciplines.</w:t>
            </w:r>
          </w:p>
        </w:tc>
      </w:tr>
      <w:tr w:rsidR="00912476" w:rsidRPr="00A65E11" w:rsidTr="00A65E11">
        <w:trPr>
          <w:trHeight w:val="257"/>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912476" w:rsidRPr="00A65E11" w:rsidRDefault="00912476" w:rsidP="00912476">
            <w:pPr>
              <w:rPr>
                <w:rFonts w:ascii="Times New Roman" w:hAnsi="Times New Roman" w:cs="Times New Roman"/>
                <w:b/>
              </w:rPr>
            </w:pPr>
            <w:r w:rsidRPr="00A65E11">
              <w:rPr>
                <w:rFonts w:ascii="Times New Roman" w:hAnsi="Times New Roman" w:cs="Times New Roman"/>
                <w:b/>
              </w:rPr>
              <w:t>Learning outcomes (acquired knowledge):</w:t>
            </w:r>
          </w:p>
        </w:tc>
      </w:tr>
      <w:tr w:rsidR="00912476" w:rsidRPr="00A65E11" w:rsidTr="00A65E11">
        <w:trPr>
          <w:trHeight w:val="1241"/>
        </w:trPr>
        <w:tc>
          <w:tcPr>
            <w:tcW w:w="9566" w:type="dxa"/>
            <w:gridSpan w:val="6"/>
            <w:tcBorders>
              <w:top w:val="single" w:sz="4" w:space="0" w:color="000000"/>
              <w:left w:val="single" w:sz="4" w:space="0" w:color="000000"/>
              <w:bottom w:val="single" w:sz="4" w:space="0" w:color="000000"/>
              <w:right w:val="single" w:sz="4" w:space="0" w:color="000000"/>
            </w:tcBorders>
          </w:tcPr>
          <w:p w:rsidR="00912476" w:rsidRPr="00A65E11" w:rsidRDefault="00912476" w:rsidP="00912476">
            <w:pPr>
              <w:jc w:val="both"/>
              <w:rPr>
                <w:rFonts w:ascii="Times New Roman" w:hAnsi="Times New Roman" w:cs="Times New Roman"/>
              </w:rPr>
            </w:pPr>
            <w:r w:rsidRPr="00A65E11">
              <w:rPr>
                <w:rFonts w:ascii="Times New Roman" w:hAnsi="Times New Roman" w:cs="Times New Roman"/>
              </w:rPr>
              <w:t xml:space="preserve"> Mastering basic narratological concepts and contemporary orientations within the narratological turn in the humanities. Application of narratological methods in the interpretation of literary and non-literary texts. Enabling for transmedia research.</w:t>
            </w:r>
          </w:p>
        </w:tc>
      </w:tr>
      <w:tr w:rsidR="001C604C" w:rsidRPr="00A65E11" w:rsidTr="00A65E11">
        <w:trPr>
          <w:trHeight w:val="252"/>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912476">
            <w:pPr>
              <w:rPr>
                <w:rFonts w:ascii="Times New Roman" w:hAnsi="Times New Roman" w:cs="Times New Roman"/>
              </w:rPr>
            </w:pPr>
            <w:r w:rsidRPr="00A65E11">
              <w:rPr>
                <w:rFonts w:ascii="Times New Roman" w:eastAsia="Times New Roman" w:hAnsi="Times New Roman" w:cs="Times New Roman"/>
                <w:b/>
                <w:sz w:val="21"/>
              </w:rPr>
              <w:t>Subject content:</w:t>
            </w:r>
          </w:p>
        </w:tc>
      </w:tr>
      <w:tr w:rsidR="001C604C" w:rsidRPr="00A65E11" w:rsidTr="00A65E11">
        <w:trPr>
          <w:trHeight w:val="4534"/>
        </w:trPr>
        <w:tc>
          <w:tcPr>
            <w:tcW w:w="9566" w:type="dxa"/>
            <w:gridSpan w:val="6"/>
            <w:tcBorders>
              <w:top w:val="single" w:sz="4" w:space="0" w:color="000000"/>
              <w:left w:val="single" w:sz="4" w:space="0" w:color="000000"/>
              <w:bottom w:val="single" w:sz="4" w:space="0" w:color="000000"/>
              <w:right w:val="single" w:sz="4" w:space="0" w:color="000000"/>
            </w:tcBorders>
          </w:tcPr>
          <w:p w:rsidR="00912476" w:rsidRPr="00A65E11" w:rsidRDefault="00912476" w:rsidP="00912476">
            <w:pPr>
              <w:rPr>
                <w:rFonts w:ascii="Times New Roman" w:eastAsia="Times New Roman" w:hAnsi="Times New Roman" w:cs="Times New Roman"/>
                <w:sz w:val="21"/>
              </w:rPr>
            </w:pPr>
          </w:p>
          <w:p w:rsidR="00912476" w:rsidRPr="00A65E11" w:rsidRDefault="00912476" w:rsidP="00912476">
            <w:pPr>
              <w:rPr>
                <w:rFonts w:ascii="Times New Roman" w:eastAsia="Times New Roman" w:hAnsi="Times New Roman" w:cs="Times New Roman"/>
                <w:sz w:val="21"/>
              </w:rPr>
            </w:pPr>
            <w:r w:rsidRPr="00A65E11">
              <w:rPr>
                <w:rFonts w:ascii="Times New Roman" w:eastAsia="Times New Roman" w:hAnsi="Times New Roman" w:cs="Times New Roman"/>
                <w:sz w:val="21"/>
              </w:rPr>
              <w:t>1. Narratology: Poetics of narrative texts. Method of interpretation. Discipline in humanities; 2. Predecessors of narratology: Aristotle's narrative poetics. 2.1. Historical poetics of narrative. 2.2. Classical narratology. 2.3. Linguistic basics. 3. Narrative: a concept - from a literary genre to a tool for thinking. 3.1. Transdisciplinary, trans-historical, trans-generic and trans-medial nature of narrative. 4. The narratological turn in the humanities - from immanentism to the interdisciplinary context. 4.1. Postclassical narratology (Theory of possible worlds, Philosophy of mind, Cognitive psychology and linguistics). 4.2. Cognitivist orientation: Frameworks and scenarios. Narrative or narrativity. Narrative identity. C</w:t>
            </w:r>
            <w:r w:rsidR="00B573B5" w:rsidRPr="00A65E11">
              <w:rPr>
                <w:rFonts w:ascii="Times New Roman" w:eastAsia="Times New Roman" w:hAnsi="Times New Roman" w:cs="Times New Roman"/>
                <w:sz w:val="21"/>
              </w:rPr>
              <w:t xml:space="preserve">oncept </w:t>
            </w:r>
            <w:r w:rsidRPr="00A65E11">
              <w:rPr>
                <w:rFonts w:ascii="Times New Roman" w:eastAsia="Times New Roman" w:hAnsi="Times New Roman" w:cs="Times New Roman"/>
                <w:sz w:val="21"/>
              </w:rPr>
              <w:t>of Story world</w:t>
            </w:r>
            <w:r w:rsidR="00B573B5" w:rsidRPr="00A65E11">
              <w:rPr>
                <w:rFonts w:ascii="Times New Roman" w:eastAsia="Times New Roman" w:hAnsi="Times New Roman" w:cs="Times New Roman"/>
                <w:sz w:val="21"/>
              </w:rPr>
              <w:t>.</w:t>
            </w:r>
            <w:r w:rsidRPr="00A65E11">
              <w:rPr>
                <w:rFonts w:ascii="Times New Roman" w:eastAsia="Times New Roman" w:hAnsi="Times New Roman" w:cs="Times New Roman"/>
                <w:sz w:val="21"/>
              </w:rPr>
              <w:t xml:space="preserve"> Temporality. Space. The plot. Focalization. Storyteller. Character. Trans-textual character identity. Presentation of speech and thought. Description. 4.3. Cognitive theory of genres: Dramatic narrative. Narrative of a lyric poem. Historiographical narrative. 4.4.</w:t>
            </w:r>
          </w:p>
          <w:p w:rsidR="00912476" w:rsidRPr="00A65E11" w:rsidRDefault="00912476" w:rsidP="00912476">
            <w:pPr>
              <w:rPr>
                <w:rFonts w:ascii="Times New Roman" w:eastAsia="Times New Roman" w:hAnsi="Times New Roman" w:cs="Times New Roman"/>
                <w:sz w:val="21"/>
              </w:rPr>
            </w:pPr>
            <w:r w:rsidRPr="00A65E11">
              <w:rPr>
                <w:rFonts w:ascii="Times New Roman" w:eastAsia="Times New Roman" w:hAnsi="Times New Roman" w:cs="Times New Roman"/>
                <w:sz w:val="21"/>
              </w:rPr>
              <w:t>Cognitive poetics and stylistics. 4.5. Rhetorical theory of narrative: Narrative audience. 4.6.</w:t>
            </w:r>
          </w:p>
          <w:p w:rsidR="001C604C" w:rsidRPr="00A65E11" w:rsidRDefault="00912476" w:rsidP="00912476">
            <w:pPr>
              <w:rPr>
                <w:rFonts w:ascii="Times New Roman" w:hAnsi="Times New Roman" w:cs="Times New Roman"/>
              </w:rPr>
            </w:pPr>
            <w:r w:rsidRPr="00A65E11">
              <w:rPr>
                <w:rFonts w:ascii="Times New Roman" w:eastAsia="Times New Roman" w:hAnsi="Times New Roman" w:cs="Times New Roman"/>
                <w:sz w:val="21"/>
              </w:rPr>
              <w:t>Affective narratology: Immersion theory. Mental simulation. Empathy. Narrative and emotions. 4.7. Transmedia narratology: Hyper-textual narrative. Musical narrative. Film narrative. Narrative in fine art. Narrative and performance. Video game narrative. Narrative transgressions and multiplications.</w:t>
            </w:r>
          </w:p>
        </w:tc>
      </w:tr>
      <w:tr w:rsidR="00B573B5" w:rsidRPr="00A65E11" w:rsidTr="00A65E11">
        <w:trPr>
          <w:trHeight w:val="257"/>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B573B5" w:rsidRPr="00A65E11" w:rsidRDefault="00B573B5" w:rsidP="00B573B5">
            <w:pPr>
              <w:rPr>
                <w:rFonts w:ascii="Times New Roman" w:hAnsi="Times New Roman" w:cs="Times New Roman"/>
                <w:b/>
              </w:rPr>
            </w:pPr>
            <w:r w:rsidRPr="00A65E11">
              <w:rPr>
                <w:rFonts w:ascii="Times New Roman" w:hAnsi="Times New Roman" w:cs="Times New Roman"/>
                <w:b/>
              </w:rPr>
              <w:t>Methods of teaching and mastering the material:</w:t>
            </w:r>
          </w:p>
        </w:tc>
      </w:tr>
      <w:tr w:rsidR="00B573B5" w:rsidRPr="00A65E11" w:rsidTr="00A65E11">
        <w:trPr>
          <w:trHeight w:val="256"/>
        </w:trPr>
        <w:tc>
          <w:tcPr>
            <w:tcW w:w="9566" w:type="dxa"/>
            <w:gridSpan w:val="6"/>
            <w:tcBorders>
              <w:top w:val="single" w:sz="4" w:space="0" w:color="000000"/>
              <w:left w:val="single" w:sz="4" w:space="0" w:color="000000"/>
              <w:bottom w:val="single" w:sz="4" w:space="0" w:color="000000"/>
              <w:right w:val="single" w:sz="4" w:space="0" w:color="000000"/>
            </w:tcBorders>
          </w:tcPr>
          <w:p w:rsidR="00B573B5" w:rsidRPr="00A65E11" w:rsidRDefault="00B573B5" w:rsidP="00B573B5">
            <w:pPr>
              <w:rPr>
                <w:rFonts w:ascii="Times New Roman" w:hAnsi="Times New Roman" w:cs="Times New Roman"/>
              </w:rPr>
            </w:pPr>
            <w:r w:rsidRPr="00A65E11">
              <w:rPr>
                <w:rFonts w:ascii="Times New Roman" w:hAnsi="Times New Roman" w:cs="Times New Roman"/>
              </w:rPr>
              <w:t>Monolog, dialog, consultative</w:t>
            </w:r>
          </w:p>
        </w:tc>
      </w:tr>
      <w:tr w:rsidR="001C604C" w:rsidRPr="00A65E11" w:rsidTr="00A65E11">
        <w:trPr>
          <w:trHeight w:val="260"/>
        </w:trPr>
        <w:tc>
          <w:tcPr>
            <w:tcW w:w="9566" w:type="dxa"/>
            <w:gridSpan w:val="6"/>
            <w:tcBorders>
              <w:top w:val="single" w:sz="4" w:space="0" w:color="000000"/>
              <w:left w:val="single" w:sz="4" w:space="0" w:color="000000"/>
              <w:bottom w:val="single" w:sz="4" w:space="0" w:color="000000"/>
              <w:right w:val="single" w:sz="4" w:space="0" w:color="000000"/>
            </w:tcBorders>
          </w:tcPr>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 </w:t>
            </w:r>
          </w:p>
        </w:tc>
      </w:tr>
      <w:tr w:rsidR="001C604C" w:rsidRPr="00A65E11" w:rsidTr="00A65E11">
        <w:trPr>
          <w:trHeight w:val="252"/>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B573B5">
            <w:pPr>
              <w:ind w:left="1"/>
              <w:rPr>
                <w:rFonts w:ascii="Times New Roman" w:hAnsi="Times New Roman" w:cs="Times New Roman"/>
              </w:rPr>
            </w:pPr>
            <w:r w:rsidRPr="00A65E11">
              <w:rPr>
                <w:rFonts w:ascii="Times New Roman" w:eastAsia="Times New Roman" w:hAnsi="Times New Roman" w:cs="Times New Roman"/>
                <w:b/>
                <w:sz w:val="21"/>
              </w:rPr>
              <w:t>Literature:</w:t>
            </w:r>
          </w:p>
        </w:tc>
      </w:tr>
      <w:tr w:rsidR="001C604C" w:rsidRPr="00A65E11" w:rsidTr="00A65E11">
        <w:trPr>
          <w:trHeight w:val="6905"/>
        </w:trPr>
        <w:tc>
          <w:tcPr>
            <w:tcW w:w="9566" w:type="dxa"/>
            <w:gridSpan w:val="6"/>
            <w:tcBorders>
              <w:top w:val="single" w:sz="4" w:space="0" w:color="000000"/>
              <w:left w:val="single" w:sz="4" w:space="0" w:color="000000"/>
              <w:bottom w:val="single" w:sz="4" w:space="0" w:color="000000"/>
              <w:right w:val="single" w:sz="4" w:space="0" w:color="000000"/>
            </w:tcBorders>
          </w:tcPr>
          <w:p w:rsidR="001C604C" w:rsidRPr="00A65E11" w:rsidRDefault="003403AA">
            <w:pPr>
              <w:spacing w:after="8"/>
              <w:ind w:left="1"/>
              <w:rPr>
                <w:rFonts w:ascii="Times New Roman" w:hAnsi="Times New Roman" w:cs="Times New Roman"/>
              </w:rPr>
            </w:pPr>
            <w:r w:rsidRPr="00A65E11">
              <w:rPr>
                <w:rFonts w:ascii="Times New Roman" w:eastAsia="Times New Roman" w:hAnsi="Times New Roman" w:cs="Times New Roman"/>
                <w:sz w:val="21"/>
              </w:rPr>
              <w:t xml:space="preserve"> </w:t>
            </w:r>
          </w:p>
          <w:p w:rsidR="001C604C" w:rsidRPr="00A65E11" w:rsidRDefault="00B573B5">
            <w:pPr>
              <w:ind w:left="1"/>
              <w:rPr>
                <w:rFonts w:ascii="Times New Roman" w:hAnsi="Times New Roman" w:cs="Times New Roman"/>
              </w:rPr>
            </w:pPr>
            <w:r w:rsidRPr="00A65E11">
              <w:rPr>
                <w:rFonts w:ascii="Times New Roman" w:eastAsia="Times New Roman" w:hAnsi="Times New Roman" w:cs="Times New Roman"/>
                <w:b/>
                <w:sz w:val="21"/>
              </w:rPr>
              <w:t>Literature:</w:t>
            </w:r>
            <w:r w:rsidR="003403AA" w:rsidRPr="00A65E11">
              <w:rPr>
                <w:rFonts w:ascii="Times New Roman" w:eastAsia="Times New Roman" w:hAnsi="Times New Roman" w:cs="Times New Roman"/>
                <w:sz w:val="21"/>
              </w:rPr>
              <w:t xml:space="preserve"> </w:t>
            </w:r>
            <w:r w:rsidR="003403AA" w:rsidRPr="00A65E11">
              <w:rPr>
                <w:rFonts w:ascii="Times New Roman" w:eastAsia="Times New Roman" w:hAnsi="Times New Roman" w:cs="Times New Roman"/>
                <w:sz w:val="25"/>
              </w:rPr>
              <w:t xml:space="preserve"> </w:t>
            </w:r>
          </w:p>
          <w:p w:rsidR="001C604C" w:rsidRPr="00A65E11" w:rsidRDefault="003403AA">
            <w:pPr>
              <w:spacing w:after="5" w:line="236" w:lineRule="auto"/>
              <w:ind w:left="1" w:right="136"/>
              <w:jc w:val="both"/>
              <w:rPr>
                <w:rFonts w:ascii="Times New Roman" w:hAnsi="Times New Roman" w:cs="Times New Roman"/>
              </w:rPr>
            </w:pPr>
            <w:proofErr w:type="spellStart"/>
            <w:r w:rsidRPr="00A65E11">
              <w:rPr>
                <w:rFonts w:ascii="Times New Roman" w:eastAsia="Times New Roman" w:hAnsi="Times New Roman" w:cs="Times New Roman"/>
                <w:sz w:val="21"/>
              </w:rPr>
              <w:t>Aristotel</w:t>
            </w:r>
            <w:proofErr w:type="spellEnd"/>
            <w:r w:rsidRPr="00A65E11">
              <w:rPr>
                <w:rFonts w:ascii="Times New Roman" w:eastAsia="Times New Roman" w:hAnsi="Times New Roman" w:cs="Times New Roman"/>
                <w:sz w:val="21"/>
              </w:rPr>
              <w:t xml:space="preserve">. </w:t>
            </w:r>
            <w:r w:rsidRPr="00A65E11">
              <w:rPr>
                <w:rFonts w:ascii="Times New Roman" w:eastAsia="Times New Roman" w:hAnsi="Times New Roman" w:cs="Times New Roman"/>
                <w:i/>
                <w:sz w:val="21"/>
              </w:rPr>
              <w:t xml:space="preserve">O </w:t>
            </w:r>
            <w:proofErr w:type="spellStart"/>
            <w:r w:rsidRPr="00A65E11">
              <w:rPr>
                <w:rFonts w:ascii="Times New Roman" w:eastAsia="Times New Roman" w:hAnsi="Times New Roman" w:cs="Times New Roman"/>
                <w:i/>
                <w:sz w:val="21"/>
              </w:rPr>
              <w:t>pjesničkom</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umijeću</w:t>
            </w:r>
            <w:proofErr w:type="spellEnd"/>
            <w:r w:rsidRPr="00A65E11">
              <w:rPr>
                <w:rFonts w:ascii="Times New Roman" w:eastAsia="Times New Roman" w:hAnsi="Times New Roman" w:cs="Times New Roman"/>
                <w:sz w:val="21"/>
              </w:rPr>
              <w:t xml:space="preserve">, (prev. </w:t>
            </w:r>
            <w:proofErr w:type="spellStart"/>
            <w:r w:rsidRPr="00A65E11">
              <w:rPr>
                <w:rFonts w:ascii="Times New Roman" w:eastAsia="Times New Roman" w:hAnsi="Times New Roman" w:cs="Times New Roman"/>
                <w:sz w:val="21"/>
              </w:rPr>
              <w:t>Zdeslav</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Dukat</w:t>
            </w:r>
            <w:proofErr w:type="spellEnd"/>
            <w:r w:rsidRPr="00A65E11">
              <w:rPr>
                <w:rFonts w:ascii="Times New Roman" w:eastAsia="Times New Roman" w:hAnsi="Times New Roman" w:cs="Times New Roman"/>
                <w:sz w:val="21"/>
              </w:rPr>
              <w:t xml:space="preserve">), Zagreb, 2005; </w:t>
            </w:r>
            <w:proofErr w:type="spellStart"/>
            <w:r w:rsidRPr="00A65E11">
              <w:rPr>
                <w:rFonts w:ascii="Times New Roman" w:eastAsia="Times New Roman" w:hAnsi="Times New Roman" w:cs="Times New Roman"/>
                <w:sz w:val="21"/>
              </w:rPr>
              <w:t>Doležel</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Lubomir</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i/>
                <w:sz w:val="21"/>
              </w:rPr>
              <w:t>Heterokosmika</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Fikcija</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i</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mogući</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svetovi</w:t>
            </w:r>
            <w:proofErr w:type="spellEnd"/>
            <w:r w:rsidRPr="00A65E11">
              <w:rPr>
                <w:rFonts w:ascii="Times New Roman" w:eastAsia="Times New Roman" w:hAnsi="Times New Roman" w:cs="Times New Roman"/>
                <w:sz w:val="21"/>
              </w:rPr>
              <w:t>. (</w:t>
            </w:r>
            <w:proofErr w:type="gramStart"/>
            <w:r w:rsidRPr="00A65E11">
              <w:rPr>
                <w:rFonts w:ascii="Times New Roman" w:eastAsia="Times New Roman" w:hAnsi="Times New Roman" w:cs="Times New Roman"/>
                <w:sz w:val="21"/>
              </w:rPr>
              <w:t>prev</w:t>
            </w:r>
            <w:proofErr w:type="gram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Snežana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Kalinić</w:t>
            </w:r>
            <w:proofErr w:type="spellEnd"/>
            <w:r w:rsidRPr="00A65E11">
              <w:rPr>
                <w:rFonts w:ascii="Times New Roman" w:eastAsia="Times New Roman" w:hAnsi="Times New Roman" w:cs="Times New Roman"/>
                <w:sz w:val="21"/>
              </w:rPr>
              <w:t>).</w:t>
            </w:r>
            <w:r w:rsidRPr="00A65E11">
              <w:rPr>
                <w:rFonts w:ascii="Times New Roman" w:eastAsia="Times New Roman" w:hAnsi="Times New Roman" w:cs="Times New Roman"/>
                <w:i/>
                <w:sz w:val="21"/>
              </w:rPr>
              <w:t xml:space="preserve"> </w:t>
            </w:r>
            <w:r w:rsidRPr="00A65E11">
              <w:rPr>
                <w:rFonts w:ascii="Times New Roman" w:eastAsia="Times New Roman" w:hAnsi="Times New Roman" w:cs="Times New Roman"/>
                <w:sz w:val="21"/>
              </w:rPr>
              <w:t xml:space="preserve">Beograd: </w:t>
            </w:r>
            <w:proofErr w:type="spellStart"/>
            <w:r w:rsidRPr="00A65E11">
              <w:rPr>
                <w:rFonts w:ascii="Times New Roman" w:eastAsia="Times New Roman" w:hAnsi="Times New Roman" w:cs="Times New Roman"/>
                <w:sz w:val="21"/>
              </w:rPr>
              <w:t>Službeni</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glasnik</w:t>
            </w:r>
            <w:proofErr w:type="spellEnd"/>
            <w:r w:rsidRPr="00A65E11">
              <w:rPr>
                <w:rFonts w:ascii="Times New Roman" w:eastAsia="Times New Roman" w:hAnsi="Times New Roman" w:cs="Times New Roman"/>
                <w:sz w:val="21"/>
              </w:rPr>
              <w:t>, 2008; Pol Riker, „</w:t>
            </w:r>
            <w:proofErr w:type="spellStart"/>
            <w:r w:rsidRPr="00A65E11">
              <w:rPr>
                <w:rFonts w:ascii="Times New Roman" w:eastAsia="Times New Roman" w:hAnsi="Times New Roman" w:cs="Times New Roman"/>
                <w:sz w:val="21"/>
              </w:rPr>
              <w:t>Sopstvo</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i</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narativni</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identitet</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i/>
                <w:sz w:val="21"/>
              </w:rPr>
              <w:t>Sopstvo</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kao</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drugi</w:t>
            </w:r>
            <w:proofErr w:type="spellEnd"/>
            <w:r w:rsidRPr="00A65E11">
              <w:rPr>
                <w:rFonts w:ascii="Times New Roman" w:eastAsia="Times New Roman" w:hAnsi="Times New Roman" w:cs="Times New Roman"/>
                <w:sz w:val="21"/>
              </w:rPr>
              <w:t xml:space="preserve">, (prev. S. </w:t>
            </w:r>
            <w:proofErr w:type="spellStart"/>
            <w:r w:rsidRPr="00A65E11">
              <w:rPr>
                <w:rFonts w:ascii="Times New Roman" w:eastAsia="Times New Roman" w:hAnsi="Times New Roman" w:cs="Times New Roman"/>
                <w:sz w:val="21"/>
              </w:rPr>
              <w:t>Ćuzulan</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Jasen</w:t>
            </w:r>
            <w:proofErr w:type="spellEnd"/>
            <w:r w:rsidRPr="00A65E11">
              <w:rPr>
                <w:rFonts w:ascii="Times New Roman" w:eastAsia="Times New Roman" w:hAnsi="Times New Roman" w:cs="Times New Roman"/>
                <w:sz w:val="21"/>
              </w:rPr>
              <w:t xml:space="preserve">, Beograd, 2004, str. 147-176; </w:t>
            </w:r>
            <w:proofErr w:type="spellStart"/>
            <w:r w:rsidRPr="00A65E11">
              <w:rPr>
                <w:rFonts w:ascii="Times New Roman" w:eastAsia="Times New Roman" w:hAnsi="Times New Roman" w:cs="Times New Roman"/>
                <w:sz w:val="21"/>
              </w:rPr>
              <w:t>Fauconnier</w:t>
            </w:r>
            <w:proofErr w:type="spellEnd"/>
            <w:r w:rsidRPr="00A65E11">
              <w:rPr>
                <w:rFonts w:ascii="Times New Roman" w:eastAsia="Times New Roman" w:hAnsi="Times New Roman" w:cs="Times New Roman"/>
                <w:sz w:val="21"/>
              </w:rPr>
              <w:t xml:space="preserve">,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Gilles, Turner Mark. </w:t>
            </w:r>
            <w:r w:rsidRPr="00A65E11">
              <w:rPr>
                <w:rFonts w:ascii="Times New Roman" w:eastAsia="Times New Roman" w:hAnsi="Times New Roman" w:cs="Times New Roman"/>
                <w:i/>
                <w:sz w:val="21"/>
              </w:rPr>
              <w:t>The Way We Think, Conceptual Blending and the Mind’s Hidden Complexities</w:t>
            </w:r>
            <w:r w:rsidRPr="00A65E11">
              <w:rPr>
                <w:rFonts w:ascii="Times New Roman" w:eastAsia="Times New Roman" w:hAnsi="Times New Roman" w:cs="Times New Roman"/>
                <w:sz w:val="21"/>
              </w:rPr>
              <w:t xml:space="preserve">. New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York: Basic Books, 2002. </w:t>
            </w:r>
            <w:proofErr w:type="spellStart"/>
            <w:r w:rsidRPr="00A65E11">
              <w:rPr>
                <w:rFonts w:ascii="Times New Roman" w:eastAsia="Times New Roman" w:hAnsi="Times New Roman" w:cs="Times New Roman"/>
                <w:sz w:val="21"/>
              </w:rPr>
              <w:t>Портер</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Абот</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i/>
                <w:sz w:val="21"/>
              </w:rPr>
              <w:t>Увод</w:t>
            </w:r>
            <w:proofErr w:type="spellEnd"/>
            <w:r w:rsidRPr="00A65E11">
              <w:rPr>
                <w:rFonts w:ascii="Times New Roman" w:eastAsia="Times New Roman" w:hAnsi="Times New Roman" w:cs="Times New Roman"/>
                <w:i/>
                <w:sz w:val="21"/>
              </w:rPr>
              <w:t xml:space="preserve"> у </w:t>
            </w:r>
            <w:proofErr w:type="spellStart"/>
            <w:r w:rsidRPr="00A65E11">
              <w:rPr>
                <w:rFonts w:ascii="Times New Roman" w:eastAsia="Times New Roman" w:hAnsi="Times New Roman" w:cs="Times New Roman"/>
                <w:i/>
                <w:sz w:val="21"/>
              </w:rPr>
              <w:t>теорију</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прозе</w:t>
            </w:r>
            <w:proofErr w:type="spellEnd"/>
            <w:proofErr w:type="gramStart"/>
            <w:r w:rsidRPr="00A65E11">
              <w:rPr>
                <w:rFonts w:ascii="Times New Roman" w:eastAsia="Times New Roman" w:hAnsi="Times New Roman" w:cs="Times New Roman"/>
                <w:i/>
                <w:sz w:val="21"/>
              </w:rPr>
              <w:t>,</w:t>
            </w:r>
            <w:r w:rsidRPr="00A65E11">
              <w:rPr>
                <w:rFonts w:ascii="Times New Roman" w:eastAsia="Times New Roman" w:hAnsi="Times New Roman" w:cs="Times New Roman"/>
                <w:sz w:val="21"/>
              </w:rPr>
              <w:t>(</w:t>
            </w:r>
            <w:proofErr w:type="spellStart"/>
            <w:proofErr w:type="gramEnd"/>
            <w:r w:rsidRPr="00A65E11">
              <w:rPr>
                <w:rFonts w:ascii="Times New Roman" w:eastAsia="Times New Roman" w:hAnsi="Times New Roman" w:cs="Times New Roman"/>
                <w:sz w:val="21"/>
              </w:rPr>
              <w:t>прев</w:t>
            </w:r>
            <w:proofErr w:type="spellEnd"/>
            <w:r w:rsidRPr="00A65E11">
              <w:rPr>
                <w:rFonts w:ascii="Times New Roman" w:eastAsia="Times New Roman" w:hAnsi="Times New Roman" w:cs="Times New Roman"/>
                <w:sz w:val="21"/>
              </w:rPr>
              <w:t xml:space="preserve">. М. </w:t>
            </w:r>
            <w:proofErr w:type="spellStart"/>
            <w:r w:rsidRPr="00A65E11">
              <w:rPr>
                <w:rFonts w:ascii="Times New Roman" w:eastAsia="Times New Roman" w:hAnsi="Times New Roman" w:cs="Times New Roman"/>
                <w:sz w:val="21"/>
              </w:rPr>
              <w:t>Владић</w:t>
            </w:r>
            <w:proofErr w:type="spellEnd"/>
            <w:r w:rsidRPr="00A65E11">
              <w:rPr>
                <w:rFonts w:ascii="Times New Roman" w:eastAsia="Times New Roman" w:hAnsi="Times New Roman" w:cs="Times New Roman"/>
                <w:sz w:val="21"/>
              </w:rPr>
              <w:t>),</w:t>
            </w:r>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sz w:val="21"/>
              </w:rPr>
              <w:t>Београд</w:t>
            </w:r>
            <w:proofErr w:type="spellEnd"/>
            <w:r w:rsidRPr="00A65E11">
              <w:rPr>
                <w:rFonts w:ascii="Times New Roman" w:eastAsia="Times New Roman" w:hAnsi="Times New Roman" w:cs="Times New Roman"/>
                <w:sz w:val="21"/>
              </w:rPr>
              <w:t xml:space="preserve">, 2009; </w:t>
            </w:r>
          </w:p>
          <w:p w:rsidR="001C604C" w:rsidRPr="00A65E11" w:rsidRDefault="003403AA">
            <w:pPr>
              <w:ind w:left="1"/>
              <w:rPr>
                <w:rFonts w:ascii="Times New Roman" w:hAnsi="Times New Roman" w:cs="Times New Roman"/>
              </w:rPr>
            </w:pPr>
            <w:proofErr w:type="spellStart"/>
            <w:r w:rsidRPr="00A65E11">
              <w:rPr>
                <w:rFonts w:ascii="Times New Roman" w:eastAsia="Times New Roman" w:hAnsi="Times New Roman" w:cs="Times New Roman"/>
                <w:sz w:val="21"/>
              </w:rPr>
              <w:t>Alber</w:t>
            </w:r>
            <w:proofErr w:type="spellEnd"/>
            <w:r w:rsidRPr="00A65E11">
              <w:rPr>
                <w:rFonts w:ascii="Times New Roman" w:eastAsia="Times New Roman" w:hAnsi="Times New Roman" w:cs="Times New Roman"/>
                <w:sz w:val="21"/>
              </w:rPr>
              <w:t xml:space="preserve">, Jan, </w:t>
            </w:r>
            <w:proofErr w:type="spellStart"/>
            <w:r w:rsidRPr="00A65E11">
              <w:rPr>
                <w:rFonts w:ascii="Times New Roman" w:eastAsia="Times New Roman" w:hAnsi="Times New Roman" w:cs="Times New Roman"/>
                <w:sz w:val="21"/>
              </w:rPr>
              <w:t>Fludernik</w:t>
            </w:r>
            <w:proofErr w:type="spellEnd"/>
            <w:r w:rsidRPr="00A65E11">
              <w:rPr>
                <w:rFonts w:ascii="Times New Roman" w:eastAsia="Times New Roman" w:hAnsi="Times New Roman" w:cs="Times New Roman"/>
                <w:sz w:val="21"/>
              </w:rPr>
              <w:t xml:space="preserve">, Monika. </w:t>
            </w:r>
            <w:r w:rsidRPr="00A65E11">
              <w:rPr>
                <w:rFonts w:ascii="Times New Roman" w:eastAsia="Times New Roman" w:hAnsi="Times New Roman" w:cs="Times New Roman"/>
                <w:i/>
                <w:sz w:val="21"/>
              </w:rPr>
              <w:t xml:space="preserve">Postclassical narratology, approaches and </w:t>
            </w:r>
            <w:proofErr w:type="spellStart"/>
            <w:r w:rsidRPr="00A65E11">
              <w:rPr>
                <w:rFonts w:ascii="Times New Roman" w:eastAsia="Times New Roman" w:hAnsi="Times New Roman" w:cs="Times New Roman"/>
                <w:i/>
                <w:sz w:val="21"/>
              </w:rPr>
              <w:t>annalyses</w:t>
            </w:r>
            <w:proofErr w:type="spellEnd"/>
            <w:r w:rsidRPr="00A65E11">
              <w:rPr>
                <w:rFonts w:ascii="Times New Roman" w:eastAsia="Times New Roman" w:hAnsi="Times New Roman" w:cs="Times New Roman"/>
                <w:sz w:val="21"/>
              </w:rPr>
              <w:t xml:space="preserve">, Columbus, The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Ohio State University Press, 2010; D. Herman, J. Phelan, P. J. Rabinowitz, B. Richardson, R. Warhol,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i/>
                <w:sz w:val="21"/>
              </w:rPr>
              <w:t>Narrative Theory, Core Concepts and Critical Debates</w:t>
            </w:r>
            <w:r w:rsidRPr="00A65E11">
              <w:rPr>
                <w:rFonts w:ascii="Times New Roman" w:eastAsia="Times New Roman" w:hAnsi="Times New Roman" w:cs="Times New Roman"/>
                <w:sz w:val="21"/>
              </w:rPr>
              <w:t xml:space="preserve">, Columbus, The Ohio State University Press, 2012;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Ryan, Marie – Laure.  </w:t>
            </w:r>
            <w:r w:rsidRPr="00A65E11">
              <w:rPr>
                <w:rFonts w:ascii="Times New Roman" w:eastAsia="Times New Roman" w:hAnsi="Times New Roman" w:cs="Times New Roman"/>
                <w:i/>
                <w:sz w:val="21"/>
              </w:rPr>
              <w:t xml:space="preserve">Narrative as Virtual Reality, Immersion and Interactivity in Literature and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i/>
                <w:sz w:val="21"/>
              </w:rPr>
              <w:t xml:space="preserve">Electronic Media, </w:t>
            </w:r>
            <w:r w:rsidRPr="00A65E11">
              <w:rPr>
                <w:rFonts w:ascii="Times New Roman" w:eastAsia="Times New Roman" w:hAnsi="Times New Roman" w:cs="Times New Roman"/>
                <w:sz w:val="21"/>
              </w:rPr>
              <w:t xml:space="preserve">The Johns Hopkins University Press, Baltimore and London, 2001; </w:t>
            </w:r>
            <w:r w:rsidRPr="00A65E11">
              <w:rPr>
                <w:rFonts w:ascii="Times New Roman" w:eastAsia="Times New Roman" w:hAnsi="Times New Roman" w:cs="Times New Roman"/>
                <w:color w:val="231F1F"/>
                <w:sz w:val="21"/>
              </w:rPr>
              <w:t xml:space="preserve"> </w:t>
            </w:r>
            <w:r w:rsidRPr="00A65E11">
              <w:rPr>
                <w:rFonts w:ascii="Times New Roman" w:eastAsia="Times New Roman" w:hAnsi="Times New Roman" w:cs="Times New Roman"/>
                <w:sz w:val="21"/>
              </w:rPr>
              <w:t xml:space="preserve">De </w:t>
            </w:r>
            <w:proofErr w:type="spellStart"/>
            <w:r w:rsidRPr="00A65E11">
              <w:rPr>
                <w:rFonts w:ascii="Times New Roman" w:eastAsia="Times New Roman" w:hAnsi="Times New Roman" w:cs="Times New Roman"/>
                <w:sz w:val="21"/>
              </w:rPr>
              <w:t>Fina</w:t>
            </w:r>
            <w:proofErr w:type="spellEnd"/>
            <w:r w:rsidRPr="00A65E11">
              <w:rPr>
                <w:rFonts w:ascii="Times New Roman" w:eastAsia="Times New Roman" w:hAnsi="Times New Roman" w:cs="Times New Roman"/>
                <w:sz w:val="21"/>
              </w:rPr>
              <w:t xml:space="preserve">, Anna  and </w:t>
            </w:r>
          </w:p>
          <w:p w:rsidR="001C604C" w:rsidRPr="00A65E11" w:rsidRDefault="003403AA">
            <w:pPr>
              <w:ind w:left="1"/>
              <w:rPr>
                <w:rFonts w:ascii="Times New Roman" w:hAnsi="Times New Roman" w:cs="Times New Roman"/>
              </w:rPr>
            </w:pPr>
            <w:proofErr w:type="spellStart"/>
            <w:r w:rsidRPr="00A65E11">
              <w:rPr>
                <w:rFonts w:ascii="Times New Roman" w:eastAsia="Times New Roman" w:hAnsi="Times New Roman" w:cs="Times New Roman"/>
                <w:sz w:val="21"/>
              </w:rPr>
              <w:t>Georgakopoulou</w:t>
            </w:r>
            <w:proofErr w:type="spellEnd"/>
            <w:r w:rsidRPr="00A65E11">
              <w:rPr>
                <w:rFonts w:ascii="Times New Roman" w:eastAsia="Times New Roman" w:hAnsi="Times New Roman" w:cs="Times New Roman"/>
                <w:sz w:val="21"/>
              </w:rPr>
              <w:t xml:space="preserve"> Alexandra. </w:t>
            </w:r>
            <w:r w:rsidRPr="00A65E11">
              <w:rPr>
                <w:rFonts w:ascii="Times New Roman" w:eastAsia="Times New Roman" w:hAnsi="Times New Roman" w:cs="Times New Roman"/>
                <w:i/>
                <w:sz w:val="21"/>
              </w:rPr>
              <w:t>Analyzing Narrative</w:t>
            </w:r>
            <w:r w:rsidRPr="00A65E11">
              <w:rPr>
                <w:rFonts w:ascii="Times New Roman" w:eastAsia="Times New Roman" w:hAnsi="Times New Roman" w:cs="Times New Roman"/>
                <w:sz w:val="21"/>
              </w:rPr>
              <w:t xml:space="preserve">. </w:t>
            </w:r>
            <w:r w:rsidRPr="00A65E11">
              <w:rPr>
                <w:rFonts w:ascii="Times New Roman" w:eastAsia="Times New Roman" w:hAnsi="Times New Roman" w:cs="Times New Roman"/>
                <w:i/>
                <w:sz w:val="21"/>
              </w:rPr>
              <w:t xml:space="preserve">Discourse and Sociolinguistic Perspectives.  </w:t>
            </w:r>
            <w:proofErr w:type="spellStart"/>
            <w:r w:rsidRPr="00A65E11">
              <w:rPr>
                <w:rFonts w:ascii="Times New Roman" w:eastAsia="Times New Roman" w:hAnsi="Times New Roman" w:cs="Times New Roman"/>
                <w:sz w:val="21"/>
              </w:rPr>
              <w:t>Cembridge</w:t>
            </w:r>
            <w:proofErr w:type="spellEnd"/>
            <w:r w:rsidRPr="00A65E11">
              <w:rPr>
                <w:rFonts w:ascii="Times New Roman" w:eastAsia="Times New Roman" w:hAnsi="Times New Roman" w:cs="Times New Roman"/>
                <w:sz w:val="21"/>
              </w:rPr>
              <w:t xml:space="preserve">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University Press, 2012</w:t>
            </w:r>
            <w:proofErr w:type="gramStart"/>
            <w:r w:rsidRPr="00A65E11">
              <w:rPr>
                <w:rFonts w:ascii="Times New Roman" w:eastAsia="Times New Roman" w:hAnsi="Times New Roman" w:cs="Times New Roman"/>
                <w:sz w:val="21"/>
              </w:rPr>
              <w:t>;  Herman</w:t>
            </w:r>
            <w:proofErr w:type="gramEnd"/>
            <w:r w:rsidRPr="00A65E11">
              <w:rPr>
                <w:rFonts w:ascii="Times New Roman" w:eastAsia="Times New Roman" w:hAnsi="Times New Roman" w:cs="Times New Roman"/>
                <w:sz w:val="21"/>
              </w:rPr>
              <w:t xml:space="preserve">, David. </w:t>
            </w:r>
            <w:r w:rsidRPr="00A65E11">
              <w:rPr>
                <w:rFonts w:ascii="Times New Roman" w:eastAsia="Times New Roman" w:hAnsi="Times New Roman" w:cs="Times New Roman"/>
                <w:i/>
                <w:sz w:val="21"/>
              </w:rPr>
              <w:t>Basic Elements of Narrative</w:t>
            </w:r>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Chichester</w:t>
            </w:r>
            <w:proofErr w:type="spellEnd"/>
            <w:r w:rsidRPr="00A65E11">
              <w:rPr>
                <w:rFonts w:ascii="Times New Roman" w:eastAsia="Times New Roman" w:hAnsi="Times New Roman" w:cs="Times New Roman"/>
                <w:sz w:val="21"/>
              </w:rPr>
              <w:t xml:space="preserve">: A John Wiley&amp; Sons,  </w:t>
            </w:r>
          </w:p>
          <w:p w:rsidR="001C604C" w:rsidRPr="00A65E11" w:rsidRDefault="003403AA">
            <w:pPr>
              <w:spacing w:line="238" w:lineRule="auto"/>
              <w:ind w:left="1"/>
              <w:rPr>
                <w:rFonts w:ascii="Times New Roman" w:hAnsi="Times New Roman" w:cs="Times New Roman"/>
              </w:rPr>
            </w:pPr>
            <w:r w:rsidRPr="00A65E11">
              <w:rPr>
                <w:rFonts w:ascii="Times New Roman" w:eastAsia="Times New Roman" w:hAnsi="Times New Roman" w:cs="Times New Roman"/>
                <w:sz w:val="21"/>
              </w:rPr>
              <w:t>Ltd, Publication, 2009</w:t>
            </w:r>
            <w:proofErr w:type="gramStart"/>
            <w:r w:rsidRPr="00A65E11">
              <w:rPr>
                <w:rFonts w:ascii="Times New Roman" w:eastAsia="Times New Roman" w:hAnsi="Times New Roman" w:cs="Times New Roman"/>
                <w:sz w:val="21"/>
              </w:rPr>
              <w:t xml:space="preserve">;  </w:t>
            </w:r>
            <w:r w:rsidRPr="00A65E11">
              <w:rPr>
                <w:rFonts w:ascii="Times New Roman" w:eastAsia="Times New Roman" w:hAnsi="Times New Roman" w:cs="Times New Roman"/>
                <w:color w:val="231F1F"/>
                <w:sz w:val="21"/>
              </w:rPr>
              <w:t>Verner</w:t>
            </w:r>
            <w:proofErr w:type="gramEnd"/>
            <w:r w:rsidRPr="00A65E11">
              <w:rPr>
                <w:rFonts w:ascii="Times New Roman" w:eastAsia="Times New Roman" w:hAnsi="Times New Roman" w:cs="Times New Roman"/>
                <w:color w:val="231F1F"/>
                <w:sz w:val="21"/>
              </w:rPr>
              <w:t xml:space="preserve"> Wolf. (</w:t>
            </w:r>
            <w:proofErr w:type="spellStart"/>
            <w:r w:rsidRPr="00A65E11">
              <w:rPr>
                <w:rFonts w:ascii="Times New Roman" w:eastAsia="Times New Roman" w:hAnsi="Times New Roman" w:cs="Times New Roman"/>
                <w:color w:val="231F1F"/>
                <w:sz w:val="21"/>
              </w:rPr>
              <w:t>ed</w:t>
            </w:r>
            <w:proofErr w:type="spellEnd"/>
            <w:r w:rsidRPr="00A65E11">
              <w:rPr>
                <w:rFonts w:ascii="Times New Roman" w:eastAsia="Times New Roman" w:hAnsi="Times New Roman" w:cs="Times New Roman"/>
                <w:color w:val="231F1F"/>
                <w:sz w:val="21"/>
              </w:rPr>
              <w:t xml:space="preserve">) </w:t>
            </w:r>
            <w:r w:rsidRPr="00A65E11">
              <w:rPr>
                <w:rFonts w:ascii="Times New Roman" w:eastAsia="Times New Roman" w:hAnsi="Times New Roman" w:cs="Times New Roman"/>
                <w:i/>
                <w:color w:val="231F1F"/>
                <w:sz w:val="21"/>
              </w:rPr>
              <w:t>Description in Literature and Other Media</w:t>
            </w:r>
            <w:r w:rsidRPr="00A65E11">
              <w:rPr>
                <w:rFonts w:ascii="Times New Roman" w:eastAsia="Times New Roman" w:hAnsi="Times New Roman" w:cs="Times New Roman"/>
                <w:color w:val="231F1F"/>
                <w:sz w:val="21"/>
              </w:rPr>
              <w:t xml:space="preserve">. Amsterdam – New York: Editions </w:t>
            </w:r>
            <w:proofErr w:type="spellStart"/>
            <w:r w:rsidRPr="00A65E11">
              <w:rPr>
                <w:rFonts w:ascii="Times New Roman" w:eastAsia="Times New Roman" w:hAnsi="Times New Roman" w:cs="Times New Roman"/>
                <w:color w:val="231F1F"/>
                <w:sz w:val="21"/>
              </w:rPr>
              <w:t>Rodopi</w:t>
            </w:r>
            <w:proofErr w:type="spellEnd"/>
            <w:r w:rsidRPr="00A65E11">
              <w:rPr>
                <w:rFonts w:ascii="Times New Roman" w:eastAsia="Times New Roman" w:hAnsi="Times New Roman" w:cs="Times New Roman"/>
                <w:color w:val="231F1F"/>
                <w:sz w:val="21"/>
              </w:rPr>
              <w:t xml:space="preserve"> </w:t>
            </w:r>
            <w:proofErr w:type="spellStart"/>
            <w:r w:rsidRPr="00A65E11">
              <w:rPr>
                <w:rFonts w:ascii="Times New Roman" w:eastAsia="Times New Roman" w:hAnsi="Times New Roman" w:cs="Times New Roman"/>
                <w:color w:val="231F1F"/>
                <w:sz w:val="21"/>
              </w:rPr>
              <w:t>B.V</w:t>
            </w:r>
            <w:proofErr w:type="spellEnd"/>
            <w:r w:rsidRPr="00A65E11">
              <w:rPr>
                <w:rFonts w:ascii="Times New Roman" w:eastAsia="Times New Roman" w:hAnsi="Times New Roman" w:cs="Times New Roman"/>
                <w:color w:val="231F1F"/>
                <w:sz w:val="21"/>
              </w:rPr>
              <w:t xml:space="preserve">, 2007; </w:t>
            </w:r>
            <w:proofErr w:type="spellStart"/>
            <w:r w:rsidRPr="00A65E11">
              <w:rPr>
                <w:rFonts w:ascii="Times New Roman" w:eastAsia="Times New Roman" w:hAnsi="Times New Roman" w:cs="Times New Roman"/>
                <w:sz w:val="21"/>
              </w:rPr>
              <w:t>Snežana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Milosavljević</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Milić</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i/>
                <w:sz w:val="21"/>
              </w:rPr>
              <w:t>Okvir</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književnog</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teksta</w:t>
            </w:r>
            <w:proofErr w:type="spellEnd"/>
            <w:r w:rsidRPr="00A65E11">
              <w:rPr>
                <w:rFonts w:ascii="Times New Roman" w:eastAsia="Times New Roman" w:hAnsi="Times New Roman" w:cs="Times New Roman"/>
                <w:i/>
                <w:sz w:val="21"/>
              </w:rPr>
              <w:t xml:space="preserve"> – od </w:t>
            </w:r>
            <w:proofErr w:type="spellStart"/>
            <w:r w:rsidRPr="00A65E11">
              <w:rPr>
                <w:rFonts w:ascii="Times New Roman" w:eastAsia="Times New Roman" w:hAnsi="Times New Roman" w:cs="Times New Roman"/>
                <w:i/>
                <w:sz w:val="21"/>
              </w:rPr>
              <w:t>morfološkog</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pristupa</w:t>
            </w:r>
            <w:proofErr w:type="spellEnd"/>
            <w:r w:rsidRPr="00A65E11">
              <w:rPr>
                <w:rFonts w:ascii="Times New Roman" w:eastAsia="Times New Roman" w:hAnsi="Times New Roman" w:cs="Times New Roman"/>
                <w:i/>
                <w:sz w:val="21"/>
              </w:rPr>
              <w:t xml:space="preserve"> do </w:t>
            </w:r>
            <w:proofErr w:type="spellStart"/>
            <w:r w:rsidRPr="00A65E11">
              <w:rPr>
                <w:rFonts w:ascii="Times New Roman" w:eastAsia="Times New Roman" w:hAnsi="Times New Roman" w:cs="Times New Roman"/>
                <w:i/>
                <w:sz w:val="21"/>
              </w:rPr>
              <w:t>kognitivnog</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metakoncepta</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sz w:val="21"/>
              </w:rPr>
              <w:t>Philologia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Mediana</w:t>
            </w:r>
            <w:proofErr w:type="spellEnd"/>
            <w:r w:rsidRPr="00A65E11">
              <w:rPr>
                <w:rFonts w:ascii="Times New Roman" w:eastAsia="Times New Roman" w:hAnsi="Times New Roman" w:cs="Times New Roman"/>
                <w:sz w:val="21"/>
              </w:rPr>
              <w:t xml:space="preserve">, VIII/8, 2016, str. 705-739; J. </w:t>
            </w:r>
            <w:proofErr w:type="spellStart"/>
            <w:r w:rsidRPr="00A65E11">
              <w:rPr>
                <w:rFonts w:ascii="Times New Roman" w:eastAsia="Times New Roman" w:hAnsi="Times New Roman" w:cs="Times New Roman"/>
                <w:sz w:val="21"/>
              </w:rPr>
              <w:t>Gavins</w:t>
            </w:r>
            <w:proofErr w:type="spellEnd"/>
            <w:r w:rsidRPr="00A65E11">
              <w:rPr>
                <w:rFonts w:ascii="Times New Roman" w:eastAsia="Times New Roman" w:hAnsi="Times New Roman" w:cs="Times New Roman"/>
                <w:sz w:val="21"/>
              </w:rPr>
              <w:t>, G. Steen (</w:t>
            </w:r>
            <w:proofErr w:type="spellStart"/>
            <w:r w:rsidRPr="00A65E11">
              <w:rPr>
                <w:rFonts w:ascii="Times New Roman" w:eastAsia="Times New Roman" w:hAnsi="Times New Roman" w:cs="Times New Roman"/>
                <w:sz w:val="21"/>
              </w:rPr>
              <w:t>ed</w:t>
            </w:r>
            <w:proofErr w:type="spellEnd"/>
            <w:r w:rsidRPr="00A65E11">
              <w:rPr>
                <w:rFonts w:ascii="Times New Roman" w:eastAsia="Times New Roman" w:hAnsi="Times New Roman" w:cs="Times New Roman"/>
                <w:sz w:val="21"/>
              </w:rPr>
              <w:t xml:space="preserve">), </w:t>
            </w:r>
            <w:r w:rsidRPr="00A65E11">
              <w:rPr>
                <w:rFonts w:ascii="Times New Roman" w:eastAsia="Times New Roman" w:hAnsi="Times New Roman" w:cs="Times New Roman"/>
                <w:i/>
                <w:sz w:val="21"/>
              </w:rPr>
              <w:t xml:space="preserve">Cognitive Poetics in </w:t>
            </w:r>
            <w:proofErr w:type="spellStart"/>
            <w:r w:rsidRPr="00A65E11">
              <w:rPr>
                <w:rFonts w:ascii="Times New Roman" w:eastAsia="Times New Roman" w:hAnsi="Times New Roman" w:cs="Times New Roman"/>
                <w:i/>
                <w:sz w:val="21"/>
              </w:rPr>
              <w:t>Practise</w:t>
            </w:r>
            <w:proofErr w:type="spellEnd"/>
            <w:r w:rsidRPr="00A65E11">
              <w:rPr>
                <w:rFonts w:ascii="Times New Roman" w:eastAsia="Times New Roman" w:hAnsi="Times New Roman" w:cs="Times New Roman"/>
                <w:sz w:val="21"/>
              </w:rPr>
              <w:t xml:space="preserve">, Routledge, London and New York, 2003;  </w:t>
            </w:r>
            <w:proofErr w:type="spellStart"/>
            <w:r w:rsidRPr="00A65E11">
              <w:rPr>
                <w:rFonts w:ascii="Times New Roman" w:eastAsia="Times New Roman" w:hAnsi="Times New Roman" w:cs="Times New Roman"/>
                <w:sz w:val="21"/>
              </w:rPr>
              <w:t>Snežana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Milosavljević</w:t>
            </w:r>
            <w:proofErr w:type="spellEnd"/>
            <w:r w:rsidRPr="00A65E11">
              <w:rPr>
                <w:rFonts w:ascii="Times New Roman" w:eastAsia="Times New Roman" w:hAnsi="Times New Roman" w:cs="Times New Roman"/>
                <w:sz w:val="21"/>
              </w:rPr>
              <w:t xml:space="preserve"> </w:t>
            </w:r>
          </w:p>
          <w:p w:rsidR="001C604C" w:rsidRPr="00A65E11" w:rsidRDefault="003403AA">
            <w:pPr>
              <w:ind w:left="1"/>
              <w:rPr>
                <w:rFonts w:ascii="Times New Roman" w:hAnsi="Times New Roman" w:cs="Times New Roman"/>
              </w:rPr>
            </w:pPr>
            <w:proofErr w:type="spellStart"/>
            <w:r w:rsidRPr="00A65E11">
              <w:rPr>
                <w:rFonts w:ascii="Times New Roman" w:eastAsia="Times New Roman" w:hAnsi="Times New Roman" w:cs="Times New Roman"/>
                <w:sz w:val="21"/>
              </w:rPr>
              <w:t>Milić</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i/>
                <w:sz w:val="21"/>
              </w:rPr>
              <w:t>Virtuelni</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narativ</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Izdavačka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knjižarnica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Zorana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Stojanovića</w:t>
            </w:r>
            <w:proofErr w:type="spellEnd"/>
            <w:r w:rsidRPr="00A65E11">
              <w:rPr>
                <w:rFonts w:ascii="Times New Roman" w:eastAsia="Times New Roman" w:hAnsi="Times New Roman" w:cs="Times New Roman"/>
                <w:sz w:val="21"/>
              </w:rPr>
              <w:t xml:space="preserve">, Novi Sad, </w:t>
            </w:r>
            <w:proofErr w:type="spellStart"/>
            <w:r w:rsidRPr="00A65E11">
              <w:rPr>
                <w:rFonts w:ascii="Times New Roman" w:eastAsia="Times New Roman" w:hAnsi="Times New Roman" w:cs="Times New Roman"/>
                <w:sz w:val="21"/>
              </w:rPr>
              <w:t>Sremski</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Karlovci</w:t>
            </w:r>
            <w:proofErr w:type="spellEnd"/>
            <w:r w:rsidRPr="00A65E11">
              <w:rPr>
                <w:rFonts w:ascii="Times New Roman" w:eastAsia="Times New Roman" w:hAnsi="Times New Roman" w:cs="Times New Roman"/>
                <w:sz w:val="21"/>
              </w:rPr>
              <w:t xml:space="preserve">, 2016;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Ryan, Marie – Laure (</w:t>
            </w:r>
            <w:proofErr w:type="spellStart"/>
            <w:r w:rsidRPr="00A65E11">
              <w:rPr>
                <w:rFonts w:ascii="Times New Roman" w:eastAsia="Times New Roman" w:hAnsi="Times New Roman" w:cs="Times New Roman"/>
                <w:sz w:val="21"/>
              </w:rPr>
              <w:t>ed</w:t>
            </w:r>
            <w:proofErr w:type="spellEnd"/>
            <w:r w:rsidRPr="00A65E11">
              <w:rPr>
                <w:rFonts w:ascii="Times New Roman" w:eastAsia="Times New Roman" w:hAnsi="Times New Roman" w:cs="Times New Roman"/>
                <w:sz w:val="21"/>
              </w:rPr>
              <w:t xml:space="preserve">), </w:t>
            </w:r>
            <w:r w:rsidRPr="00A65E11">
              <w:rPr>
                <w:rFonts w:ascii="Times New Roman" w:eastAsia="Times New Roman" w:hAnsi="Times New Roman" w:cs="Times New Roman"/>
                <w:i/>
                <w:sz w:val="21"/>
              </w:rPr>
              <w:t>Narrative across Media, The Languages of Storytelling</w:t>
            </w:r>
            <w:r w:rsidRPr="00A65E11">
              <w:rPr>
                <w:rFonts w:ascii="Times New Roman" w:eastAsia="Times New Roman" w:hAnsi="Times New Roman" w:cs="Times New Roman"/>
                <w:sz w:val="21"/>
              </w:rPr>
              <w:t xml:space="preserve">, University of </w:t>
            </w:r>
            <w:proofErr w:type="spellStart"/>
            <w:r w:rsidRPr="00A65E11">
              <w:rPr>
                <w:rFonts w:ascii="Times New Roman" w:eastAsia="Times New Roman" w:hAnsi="Times New Roman" w:cs="Times New Roman"/>
                <w:sz w:val="21"/>
              </w:rPr>
              <w:t>nebraska</w:t>
            </w:r>
            <w:proofErr w:type="spellEnd"/>
            <w:r w:rsidRPr="00A65E11">
              <w:rPr>
                <w:rFonts w:ascii="Times New Roman" w:eastAsia="Times New Roman" w:hAnsi="Times New Roman" w:cs="Times New Roman"/>
                <w:sz w:val="21"/>
              </w:rPr>
              <w:t xml:space="preserve"> </w:t>
            </w:r>
          </w:p>
          <w:p w:rsidR="001C604C" w:rsidRPr="00A65E11" w:rsidRDefault="003403AA">
            <w:pPr>
              <w:spacing w:line="238" w:lineRule="auto"/>
              <w:ind w:left="1" w:right="261"/>
              <w:jc w:val="both"/>
              <w:rPr>
                <w:rFonts w:ascii="Times New Roman" w:hAnsi="Times New Roman" w:cs="Times New Roman"/>
              </w:rPr>
            </w:pPr>
            <w:r w:rsidRPr="00A65E11">
              <w:rPr>
                <w:rFonts w:ascii="Times New Roman" w:eastAsia="Times New Roman" w:hAnsi="Times New Roman" w:cs="Times New Roman"/>
                <w:sz w:val="21"/>
              </w:rPr>
              <w:t>Press, Lincoln and London, 2004</w:t>
            </w:r>
            <w:proofErr w:type="gramStart"/>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Fludernik</w:t>
            </w:r>
            <w:proofErr w:type="spellEnd"/>
            <w:proofErr w:type="gramEnd"/>
            <w:r w:rsidRPr="00A65E11">
              <w:rPr>
                <w:rFonts w:ascii="Times New Roman" w:eastAsia="Times New Roman" w:hAnsi="Times New Roman" w:cs="Times New Roman"/>
                <w:sz w:val="21"/>
              </w:rPr>
              <w:t xml:space="preserve">, Monika. </w:t>
            </w:r>
            <w:r w:rsidRPr="00A65E11">
              <w:rPr>
                <w:rFonts w:ascii="Times New Roman" w:eastAsia="Times New Roman" w:hAnsi="Times New Roman" w:cs="Times New Roman"/>
                <w:i/>
                <w:sz w:val="21"/>
              </w:rPr>
              <w:t>Towards a “Natural” Narratology</w:t>
            </w:r>
            <w:r w:rsidRPr="00A65E11">
              <w:rPr>
                <w:rFonts w:ascii="Times New Roman" w:eastAsia="Times New Roman" w:hAnsi="Times New Roman" w:cs="Times New Roman"/>
                <w:sz w:val="21"/>
              </w:rPr>
              <w:t>. London, New York: Routledge.  2005</w:t>
            </w:r>
            <w:proofErr w:type="gramStart"/>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Oаtley</w:t>
            </w:r>
            <w:proofErr w:type="spellEnd"/>
            <w:proofErr w:type="gramEnd"/>
            <w:r w:rsidRPr="00A65E11">
              <w:rPr>
                <w:rFonts w:ascii="Times New Roman" w:eastAsia="Times New Roman" w:hAnsi="Times New Roman" w:cs="Times New Roman"/>
                <w:sz w:val="21"/>
              </w:rPr>
              <w:t xml:space="preserve">, Keith. 1994. „A  taxonomy  of  the  emotions  of  literary  response  and  a  theory  of  identification  in  fictional  narrative“. </w:t>
            </w:r>
            <w:r w:rsidRPr="00A65E11">
              <w:rPr>
                <w:rFonts w:ascii="Times New Roman" w:eastAsia="Times New Roman" w:hAnsi="Times New Roman" w:cs="Times New Roman"/>
                <w:i/>
                <w:sz w:val="21"/>
              </w:rPr>
              <w:t>Poetics</w:t>
            </w:r>
            <w:proofErr w:type="gramStart"/>
            <w:r w:rsidRPr="00A65E11">
              <w:rPr>
                <w:rFonts w:ascii="Times New Roman" w:eastAsia="Times New Roman" w:hAnsi="Times New Roman" w:cs="Times New Roman"/>
                <w:sz w:val="21"/>
              </w:rPr>
              <w:t>,</w:t>
            </w:r>
            <w:r w:rsidRPr="00A65E11">
              <w:rPr>
                <w:rFonts w:ascii="Times New Roman" w:eastAsia="Times New Roman" w:hAnsi="Times New Roman" w:cs="Times New Roman"/>
                <w:i/>
                <w:sz w:val="21"/>
              </w:rPr>
              <w:t xml:space="preserve">  </w:t>
            </w:r>
            <w:r w:rsidRPr="00A65E11">
              <w:rPr>
                <w:rFonts w:ascii="Times New Roman" w:eastAsia="Times New Roman" w:hAnsi="Times New Roman" w:cs="Times New Roman"/>
                <w:sz w:val="21"/>
              </w:rPr>
              <w:t>23</w:t>
            </w:r>
            <w:proofErr w:type="gramEnd"/>
            <w:r w:rsidRPr="00A65E11">
              <w:rPr>
                <w:rFonts w:ascii="Times New Roman" w:eastAsia="Times New Roman" w:hAnsi="Times New Roman" w:cs="Times New Roman"/>
                <w:sz w:val="21"/>
              </w:rPr>
              <w:t xml:space="preserve">.  pg. 53-74. Peter </w:t>
            </w:r>
            <w:proofErr w:type="spellStart"/>
            <w:r w:rsidRPr="00A65E11">
              <w:rPr>
                <w:rFonts w:ascii="Times New Roman" w:eastAsia="Times New Roman" w:hAnsi="Times New Roman" w:cs="Times New Roman"/>
                <w:sz w:val="21"/>
              </w:rPr>
              <w:t>Hühn</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Jörg</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Schönert</w:t>
            </w:r>
            <w:proofErr w:type="spellEnd"/>
            <w:r w:rsidRPr="00A65E11">
              <w:rPr>
                <w:rFonts w:ascii="Times New Roman" w:eastAsia="Times New Roman" w:hAnsi="Times New Roman" w:cs="Times New Roman"/>
                <w:sz w:val="21"/>
              </w:rPr>
              <w:t>, „</w:t>
            </w:r>
            <w:proofErr w:type="spellStart"/>
            <w:r w:rsidRPr="00A65E11">
              <w:rPr>
                <w:rFonts w:ascii="Times New Roman" w:eastAsia="Times New Roman" w:hAnsi="Times New Roman" w:cs="Times New Roman"/>
                <w:sz w:val="21"/>
              </w:rPr>
              <w:t>Teorija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i</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metodologija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naratološke</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analize</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lirske</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poezije</w:t>
            </w:r>
            <w:proofErr w:type="spellEnd"/>
            <w:r w:rsidRPr="00A65E11">
              <w:rPr>
                <w:rFonts w:ascii="Times New Roman" w:eastAsia="Times New Roman" w:hAnsi="Times New Roman" w:cs="Times New Roman"/>
                <w:sz w:val="21"/>
              </w:rPr>
              <w:t xml:space="preserve">“,(prev. J. </w:t>
            </w:r>
            <w:proofErr w:type="spellStart"/>
            <w:r w:rsidRPr="00A65E11">
              <w:rPr>
                <w:rFonts w:ascii="Times New Roman" w:eastAsia="Times New Roman" w:hAnsi="Times New Roman" w:cs="Times New Roman"/>
                <w:sz w:val="21"/>
              </w:rPr>
              <w:t>Mladenović</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Philologia</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Mediana</w:t>
            </w:r>
            <w:proofErr w:type="spellEnd"/>
            <w:r w:rsidRPr="00A65E11">
              <w:rPr>
                <w:rFonts w:ascii="Times New Roman" w:eastAsia="Times New Roman" w:hAnsi="Times New Roman" w:cs="Times New Roman"/>
                <w:sz w:val="21"/>
              </w:rPr>
              <w:t xml:space="preserve">, </w:t>
            </w:r>
          </w:p>
          <w:p w:rsidR="001C604C" w:rsidRPr="00A65E11" w:rsidRDefault="003403AA">
            <w:pPr>
              <w:spacing w:line="222" w:lineRule="auto"/>
              <w:ind w:left="1"/>
              <w:rPr>
                <w:rFonts w:ascii="Times New Roman" w:hAnsi="Times New Roman" w:cs="Times New Roman"/>
              </w:rPr>
            </w:pPr>
            <w:r w:rsidRPr="00A65E11">
              <w:rPr>
                <w:rFonts w:ascii="Times New Roman" w:eastAsia="Times New Roman" w:hAnsi="Times New Roman" w:cs="Times New Roman"/>
                <w:sz w:val="21"/>
              </w:rPr>
              <w:t xml:space="preserve">VIII/8, 2016, str. 789-802. </w:t>
            </w:r>
            <w:r w:rsidRPr="00A65E11">
              <w:rPr>
                <w:rFonts w:ascii="Times New Roman" w:eastAsia="Times New Roman" w:hAnsi="Times New Roman" w:cs="Times New Roman"/>
                <w:color w:val="231F1F"/>
                <w:sz w:val="21"/>
              </w:rPr>
              <w:t xml:space="preserve">D. Herman, M. </w:t>
            </w:r>
            <w:proofErr w:type="spellStart"/>
            <w:r w:rsidRPr="00A65E11">
              <w:rPr>
                <w:rFonts w:ascii="Times New Roman" w:eastAsia="Times New Roman" w:hAnsi="Times New Roman" w:cs="Times New Roman"/>
                <w:color w:val="231F1F"/>
                <w:sz w:val="21"/>
              </w:rPr>
              <w:t>Jahn</w:t>
            </w:r>
            <w:proofErr w:type="spellEnd"/>
            <w:r w:rsidRPr="00A65E11">
              <w:rPr>
                <w:rFonts w:ascii="Times New Roman" w:eastAsia="Times New Roman" w:hAnsi="Times New Roman" w:cs="Times New Roman"/>
                <w:color w:val="231F1F"/>
                <w:sz w:val="21"/>
              </w:rPr>
              <w:t>. M-L. Ryan, (</w:t>
            </w:r>
            <w:proofErr w:type="spellStart"/>
            <w:r w:rsidRPr="00A65E11">
              <w:rPr>
                <w:rFonts w:ascii="Times New Roman" w:eastAsia="Times New Roman" w:hAnsi="Times New Roman" w:cs="Times New Roman"/>
                <w:color w:val="231F1F"/>
                <w:sz w:val="21"/>
              </w:rPr>
              <w:t>ed</w:t>
            </w:r>
            <w:proofErr w:type="spellEnd"/>
            <w:r w:rsidRPr="00A65E11">
              <w:rPr>
                <w:rFonts w:ascii="Times New Roman" w:eastAsia="Times New Roman" w:hAnsi="Times New Roman" w:cs="Times New Roman"/>
                <w:color w:val="231F1F"/>
                <w:sz w:val="21"/>
              </w:rPr>
              <w:t xml:space="preserve">), </w:t>
            </w:r>
            <w:r w:rsidRPr="00A65E11">
              <w:rPr>
                <w:rFonts w:ascii="Times New Roman" w:eastAsia="Times New Roman" w:hAnsi="Times New Roman" w:cs="Times New Roman"/>
                <w:i/>
                <w:color w:val="231F1F"/>
                <w:sz w:val="21"/>
              </w:rPr>
              <w:t>Routledge Encyclopedia of Narrative Theory</w:t>
            </w:r>
            <w:r w:rsidRPr="00A65E11">
              <w:rPr>
                <w:rFonts w:ascii="Times New Roman" w:eastAsia="Times New Roman" w:hAnsi="Times New Roman" w:cs="Times New Roman"/>
                <w:color w:val="231F1F"/>
                <w:sz w:val="21"/>
              </w:rPr>
              <w:t>, Routledge, 2008.</w:t>
            </w:r>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Џералд</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sz w:val="21"/>
              </w:rPr>
              <w:t>Принс</w:t>
            </w:r>
            <w:proofErr w:type="spellEnd"/>
            <w:r w:rsidRPr="00A65E11">
              <w:rPr>
                <w:rFonts w:ascii="Times New Roman" w:eastAsia="Times New Roman" w:hAnsi="Times New Roman" w:cs="Times New Roman"/>
                <w:sz w:val="21"/>
              </w:rPr>
              <w:t xml:space="preserve">, </w:t>
            </w:r>
            <w:proofErr w:type="spellStart"/>
            <w:r w:rsidRPr="00A65E11">
              <w:rPr>
                <w:rFonts w:ascii="Times New Roman" w:eastAsia="Times New Roman" w:hAnsi="Times New Roman" w:cs="Times New Roman"/>
                <w:i/>
                <w:sz w:val="21"/>
              </w:rPr>
              <w:t>Наратолошки</w:t>
            </w:r>
            <w:proofErr w:type="spellEnd"/>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i/>
                <w:sz w:val="21"/>
              </w:rPr>
              <w:t>речник</w:t>
            </w:r>
            <w:proofErr w:type="spellEnd"/>
            <w:proofErr w:type="gramStart"/>
            <w:r w:rsidRPr="00A65E11">
              <w:rPr>
                <w:rFonts w:ascii="Times New Roman" w:eastAsia="Times New Roman" w:hAnsi="Times New Roman" w:cs="Times New Roman"/>
                <w:i/>
                <w:sz w:val="21"/>
              </w:rPr>
              <w:t>,</w:t>
            </w:r>
            <w:r w:rsidRPr="00A65E11">
              <w:rPr>
                <w:rFonts w:ascii="Times New Roman" w:eastAsia="Times New Roman" w:hAnsi="Times New Roman" w:cs="Times New Roman"/>
                <w:sz w:val="21"/>
              </w:rPr>
              <w:t>(</w:t>
            </w:r>
            <w:proofErr w:type="gramEnd"/>
            <w:r w:rsidRPr="00A65E11">
              <w:rPr>
                <w:rFonts w:ascii="Times New Roman" w:eastAsia="Times New Roman" w:hAnsi="Times New Roman" w:cs="Times New Roman"/>
                <w:sz w:val="21"/>
              </w:rPr>
              <w:t xml:space="preserve">prev. B. </w:t>
            </w:r>
            <w:proofErr w:type="spellStart"/>
            <w:r w:rsidRPr="00A65E11">
              <w:rPr>
                <w:rFonts w:ascii="Times New Roman" w:eastAsia="Times New Roman" w:hAnsi="Times New Roman" w:cs="Times New Roman"/>
                <w:sz w:val="21"/>
              </w:rPr>
              <w:t>Miladinov</w:t>
            </w:r>
            <w:proofErr w:type="spellEnd"/>
            <w:r w:rsidRPr="00A65E11">
              <w:rPr>
                <w:rFonts w:ascii="Times New Roman" w:eastAsia="Times New Roman" w:hAnsi="Times New Roman" w:cs="Times New Roman"/>
                <w:sz w:val="21"/>
              </w:rPr>
              <w:t xml:space="preserve">), </w:t>
            </w:r>
            <w:r w:rsidRPr="00A65E11">
              <w:rPr>
                <w:rFonts w:ascii="Times New Roman" w:eastAsia="Times New Roman" w:hAnsi="Times New Roman" w:cs="Times New Roman"/>
                <w:i/>
                <w:sz w:val="21"/>
              </w:rPr>
              <w:t xml:space="preserve"> </w:t>
            </w:r>
            <w:proofErr w:type="spellStart"/>
            <w:r w:rsidRPr="00A65E11">
              <w:rPr>
                <w:rFonts w:ascii="Times New Roman" w:eastAsia="Times New Roman" w:hAnsi="Times New Roman" w:cs="Times New Roman"/>
                <w:sz w:val="21"/>
              </w:rPr>
              <w:t>Београд</w:t>
            </w:r>
            <w:proofErr w:type="spellEnd"/>
            <w:r w:rsidRPr="00A65E11">
              <w:rPr>
                <w:rFonts w:ascii="Times New Roman" w:eastAsia="Times New Roman" w:hAnsi="Times New Roman" w:cs="Times New Roman"/>
                <w:sz w:val="21"/>
              </w:rPr>
              <w:t>, 2011.</w:t>
            </w:r>
            <w:r w:rsidRPr="00A65E11">
              <w:rPr>
                <w:rFonts w:ascii="Times New Roman" w:eastAsia="Times New Roman" w:hAnsi="Times New Roman" w:cs="Times New Roman"/>
                <w:sz w:val="25"/>
              </w:rPr>
              <w:t xml:space="preserve">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 </w:t>
            </w:r>
          </w:p>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 </w:t>
            </w:r>
          </w:p>
        </w:tc>
      </w:tr>
      <w:tr w:rsidR="001C604C" w:rsidRPr="00A65E11" w:rsidTr="00A65E11">
        <w:trPr>
          <w:trHeight w:val="252"/>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B573B5">
            <w:pPr>
              <w:ind w:left="1"/>
              <w:rPr>
                <w:rFonts w:ascii="Times New Roman" w:hAnsi="Times New Roman" w:cs="Times New Roman"/>
              </w:rPr>
            </w:pPr>
            <w:r w:rsidRPr="00A65E11">
              <w:rPr>
                <w:rFonts w:ascii="Times New Roman" w:eastAsia="Times New Roman" w:hAnsi="Times New Roman" w:cs="Times New Roman"/>
                <w:b/>
                <w:sz w:val="21"/>
              </w:rPr>
              <w:t>Forms of knowledge testing and assessment:</w:t>
            </w:r>
          </w:p>
        </w:tc>
      </w:tr>
      <w:tr w:rsidR="001C604C" w:rsidRPr="00A65E11" w:rsidTr="00A65E11">
        <w:trPr>
          <w:trHeight w:val="260"/>
        </w:trPr>
        <w:tc>
          <w:tcPr>
            <w:tcW w:w="9566" w:type="dxa"/>
            <w:gridSpan w:val="6"/>
            <w:tcBorders>
              <w:top w:val="single" w:sz="4" w:space="0" w:color="000000"/>
              <w:left w:val="single" w:sz="4" w:space="0" w:color="000000"/>
              <w:bottom w:val="single" w:sz="4" w:space="0" w:color="000000"/>
              <w:right w:val="single" w:sz="4" w:space="0" w:color="000000"/>
            </w:tcBorders>
          </w:tcPr>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 </w:t>
            </w:r>
          </w:p>
        </w:tc>
      </w:tr>
      <w:tr w:rsidR="001C604C" w:rsidRPr="00A65E11" w:rsidTr="00A65E11">
        <w:trPr>
          <w:trHeight w:val="499"/>
        </w:trPr>
        <w:tc>
          <w:tcPr>
            <w:tcW w:w="2511" w:type="dxa"/>
            <w:tcBorders>
              <w:top w:val="single" w:sz="4" w:space="0" w:color="000000"/>
              <w:left w:val="single" w:sz="4" w:space="0" w:color="000000"/>
              <w:bottom w:val="single" w:sz="4" w:space="0" w:color="000000"/>
              <w:right w:val="single" w:sz="4" w:space="0" w:color="000000"/>
            </w:tcBorders>
          </w:tcPr>
          <w:p w:rsidR="00B573B5" w:rsidRPr="00A65E11" w:rsidRDefault="00B573B5" w:rsidP="00B573B5">
            <w:pPr>
              <w:ind w:left="1"/>
              <w:rPr>
                <w:rFonts w:ascii="Times New Roman" w:eastAsia="Times New Roman" w:hAnsi="Times New Roman" w:cs="Times New Roman"/>
                <w:b/>
                <w:sz w:val="21"/>
              </w:rPr>
            </w:pPr>
            <w:r w:rsidRPr="00A65E11">
              <w:rPr>
                <w:rFonts w:ascii="Times New Roman" w:eastAsia="Times New Roman" w:hAnsi="Times New Roman" w:cs="Times New Roman"/>
                <w:b/>
                <w:sz w:val="21"/>
              </w:rPr>
              <w:t>Written exam</w:t>
            </w:r>
          </w:p>
          <w:p w:rsidR="001C604C" w:rsidRPr="00A65E11" w:rsidRDefault="00B573B5" w:rsidP="00B573B5">
            <w:pPr>
              <w:ind w:left="1"/>
              <w:rPr>
                <w:rFonts w:ascii="Times New Roman" w:hAnsi="Times New Roman" w:cs="Times New Roman"/>
              </w:rPr>
            </w:pPr>
            <w:r w:rsidRPr="00A65E11">
              <w:rPr>
                <w:rFonts w:ascii="Times New Roman" w:eastAsia="Times New Roman" w:hAnsi="Times New Roman" w:cs="Times New Roman"/>
                <w:b/>
                <w:sz w:val="21"/>
              </w:rPr>
              <w:t>(seminary paper</w:t>
            </w:r>
            <w:r w:rsidR="003403AA" w:rsidRPr="00A65E11">
              <w:rPr>
                <w:rFonts w:ascii="Times New Roman" w:eastAsia="Times New Roman" w:hAnsi="Times New Roman" w:cs="Times New Roman"/>
                <w:b/>
                <w:sz w:val="21"/>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1C604C" w:rsidRPr="00A65E11" w:rsidRDefault="00B573B5">
            <w:pPr>
              <w:ind w:left="5"/>
              <w:rPr>
                <w:rFonts w:ascii="Times New Roman" w:hAnsi="Times New Roman" w:cs="Times New Roman"/>
              </w:rPr>
            </w:pPr>
            <w:r w:rsidRPr="00A65E11">
              <w:rPr>
                <w:rFonts w:ascii="Times New Roman" w:eastAsia="Times New Roman" w:hAnsi="Times New Roman" w:cs="Times New Roman"/>
                <w:sz w:val="20"/>
              </w:rPr>
              <w:t>100 points</w:t>
            </w:r>
            <w:r w:rsidR="003403AA" w:rsidRPr="00A65E11">
              <w:rPr>
                <w:rFonts w:ascii="Times New Roman" w:eastAsia="Times New Roman" w:hAnsi="Times New Roman" w:cs="Times New Roman"/>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5"/>
              <w:rPr>
                <w:rFonts w:ascii="Times New Roman" w:hAnsi="Times New Roman" w:cs="Times New Roman"/>
              </w:rPr>
            </w:pPr>
            <w:r w:rsidRPr="00A65E11">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sz w:val="21"/>
              </w:rPr>
              <w:t xml:space="preserve"> </w:t>
            </w:r>
          </w:p>
        </w:tc>
        <w:tc>
          <w:tcPr>
            <w:tcW w:w="1055" w:type="dxa"/>
            <w:tcBorders>
              <w:top w:val="single" w:sz="4" w:space="0" w:color="000000"/>
              <w:left w:val="single" w:sz="4" w:space="0" w:color="000000"/>
              <w:bottom w:val="single" w:sz="4" w:space="0" w:color="000000"/>
              <w:right w:val="single" w:sz="4" w:space="0" w:color="000000"/>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sz w:val="20"/>
              </w:rPr>
              <w:t xml:space="preserve"> </w:t>
            </w:r>
          </w:p>
        </w:tc>
      </w:tr>
      <w:tr w:rsidR="001C604C" w:rsidRPr="00A65E11" w:rsidTr="00A65E11">
        <w:trPr>
          <w:trHeight w:val="256"/>
        </w:trPr>
        <w:tc>
          <w:tcPr>
            <w:tcW w:w="2511"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5"/>
              <w:rPr>
                <w:rFonts w:ascii="Times New Roman" w:hAnsi="Times New Roman" w:cs="Times New Roman"/>
              </w:rPr>
            </w:pPr>
            <w:r w:rsidRPr="00A65E11">
              <w:rPr>
                <w:rFonts w:ascii="Times New Roman" w:eastAsia="Times New Roman" w:hAnsi="Times New Roman" w:cs="Times New Roman"/>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1C604C" w:rsidRPr="00A65E11" w:rsidRDefault="003403AA">
            <w:pPr>
              <w:ind w:left="5"/>
              <w:rPr>
                <w:rFonts w:ascii="Times New Roman" w:hAnsi="Times New Roman" w:cs="Times New Roman"/>
              </w:rPr>
            </w:pPr>
            <w:r w:rsidRPr="00A65E11">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sz w:val="21"/>
              </w:rPr>
              <w:t xml:space="preserve"> </w:t>
            </w:r>
          </w:p>
        </w:tc>
        <w:tc>
          <w:tcPr>
            <w:tcW w:w="1055" w:type="dxa"/>
            <w:tcBorders>
              <w:top w:val="single" w:sz="4" w:space="0" w:color="000000"/>
              <w:left w:val="single" w:sz="4" w:space="0" w:color="000000"/>
              <w:bottom w:val="single" w:sz="4" w:space="0" w:color="000000"/>
              <w:right w:val="single" w:sz="4" w:space="0" w:color="000000"/>
            </w:tcBorders>
          </w:tcPr>
          <w:p w:rsidR="001C604C" w:rsidRPr="00A65E11" w:rsidRDefault="003403AA">
            <w:pPr>
              <w:rPr>
                <w:rFonts w:ascii="Times New Roman" w:hAnsi="Times New Roman" w:cs="Times New Roman"/>
              </w:rPr>
            </w:pPr>
            <w:r w:rsidRPr="00A65E11">
              <w:rPr>
                <w:rFonts w:ascii="Times New Roman" w:eastAsia="Times New Roman" w:hAnsi="Times New Roman" w:cs="Times New Roman"/>
                <w:sz w:val="21"/>
              </w:rPr>
              <w:t xml:space="preserve"> </w:t>
            </w:r>
          </w:p>
        </w:tc>
      </w:tr>
      <w:tr w:rsidR="001C604C" w:rsidRPr="00A65E11" w:rsidTr="00A65E11">
        <w:trPr>
          <w:trHeight w:val="257"/>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B3B3B3"/>
          </w:tcPr>
          <w:p w:rsidR="001C604C" w:rsidRPr="00A65E11" w:rsidRDefault="00B573B5">
            <w:pPr>
              <w:ind w:left="1"/>
              <w:rPr>
                <w:rFonts w:ascii="Times New Roman" w:hAnsi="Times New Roman" w:cs="Times New Roman"/>
              </w:rPr>
            </w:pPr>
            <w:r w:rsidRPr="00A65E11">
              <w:rPr>
                <w:rFonts w:ascii="Times New Roman" w:eastAsia="Times New Roman" w:hAnsi="Times New Roman" w:cs="Times New Roman"/>
                <w:b/>
                <w:sz w:val="21"/>
              </w:rPr>
              <w:t>Special indication for the subject</w:t>
            </w:r>
          </w:p>
        </w:tc>
      </w:tr>
      <w:tr w:rsidR="001C604C" w:rsidRPr="00A65E11" w:rsidTr="00A65E11">
        <w:trPr>
          <w:trHeight w:val="259"/>
        </w:trPr>
        <w:tc>
          <w:tcPr>
            <w:tcW w:w="9566" w:type="dxa"/>
            <w:gridSpan w:val="6"/>
            <w:tcBorders>
              <w:top w:val="single" w:sz="4" w:space="0" w:color="000000"/>
              <w:left w:val="single" w:sz="4" w:space="0" w:color="000000"/>
              <w:bottom w:val="single" w:sz="2" w:space="0" w:color="000000"/>
              <w:right w:val="single" w:sz="4" w:space="0" w:color="000000"/>
            </w:tcBorders>
          </w:tcPr>
          <w:p w:rsidR="001C604C" w:rsidRPr="00A65E11" w:rsidRDefault="003403AA">
            <w:pPr>
              <w:ind w:left="1"/>
              <w:rPr>
                <w:rFonts w:ascii="Times New Roman" w:hAnsi="Times New Roman" w:cs="Times New Roman"/>
              </w:rPr>
            </w:pPr>
            <w:r w:rsidRPr="00A65E11">
              <w:rPr>
                <w:rFonts w:ascii="Times New Roman" w:eastAsia="Times New Roman" w:hAnsi="Times New Roman" w:cs="Times New Roman"/>
                <w:sz w:val="21"/>
              </w:rPr>
              <w:t xml:space="preserve"> </w:t>
            </w:r>
          </w:p>
        </w:tc>
      </w:tr>
      <w:tr w:rsidR="001C604C" w:rsidRPr="00A65E11" w:rsidTr="00A65E11">
        <w:trPr>
          <w:trHeight w:val="255"/>
        </w:trPr>
        <w:tc>
          <w:tcPr>
            <w:tcW w:w="9566" w:type="dxa"/>
            <w:gridSpan w:val="6"/>
            <w:tcBorders>
              <w:top w:val="single" w:sz="2" w:space="0" w:color="000000"/>
              <w:left w:val="single" w:sz="4" w:space="0" w:color="000000"/>
              <w:bottom w:val="single" w:sz="4" w:space="0" w:color="000000"/>
              <w:right w:val="single" w:sz="4" w:space="0" w:color="000000"/>
            </w:tcBorders>
            <w:shd w:val="clear" w:color="auto" w:fill="B3B3B3"/>
          </w:tcPr>
          <w:p w:rsidR="001C604C" w:rsidRPr="00A65E11" w:rsidRDefault="00B573B5">
            <w:pPr>
              <w:ind w:left="1"/>
              <w:rPr>
                <w:rFonts w:ascii="Times New Roman" w:hAnsi="Times New Roman" w:cs="Times New Roman"/>
              </w:rPr>
            </w:pPr>
            <w:r w:rsidRPr="00A65E11">
              <w:rPr>
                <w:rFonts w:ascii="Times New Roman" w:eastAsia="Times New Roman" w:hAnsi="Times New Roman" w:cs="Times New Roman"/>
                <w:b/>
                <w:sz w:val="21"/>
              </w:rPr>
              <w:t xml:space="preserve">Name and surname of the professor who prepared the data: </w:t>
            </w:r>
            <w:proofErr w:type="spellStart"/>
            <w:r w:rsidRPr="00A65E11">
              <w:rPr>
                <w:rFonts w:ascii="Times New Roman" w:eastAsia="Times New Roman" w:hAnsi="Times New Roman" w:cs="Times New Roman"/>
                <w:b/>
                <w:sz w:val="21"/>
              </w:rPr>
              <w:t>Snežana</w:t>
            </w:r>
            <w:proofErr w:type="spellEnd"/>
            <w:r w:rsidRPr="00A65E11">
              <w:rPr>
                <w:rFonts w:ascii="Times New Roman" w:eastAsia="Times New Roman" w:hAnsi="Times New Roman" w:cs="Times New Roman"/>
                <w:b/>
                <w:sz w:val="21"/>
              </w:rPr>
              <w:t xml:space="preserve"> </w:t>
            </w:r>
            <w:proofErr w:type="spellStart"/>
            <w:r w:rsidRPr="00A65E11">
              <w:rPr>
                <w:rFonts w:ascii="Times New Roman" w:eastAsia="Times New Roman" w:hAnsi="Times New Roman" w:cs="Times New Roman"/>
                <w:b/>
                <w:sz w:val="21"/>
              </w:rPr>
              <w:t>Milosavljević-Milić</w:t>
            </w:r>
            <w:proofErr w:type="spellEnd"/>
          </w:p>
        </w:tc>
      </w:tr>
    </w:tbl>
    <w:p w:rsidR="001C604C" w:rsidRPr="00A65E11" w:rsidRDefault="003403AA">
      <w:pPr>
        <w:spacing w:after="0"/>
        <w:ind w:left="312"/>
        <w:jc w:val="both"/>
        <w:rPr>
          <w:rFonts w:ascii="Times New Roman" w:hAnsi="Times New Roman" w:cs="Times New Roman"/>
        </w:rPr>
      </w:pPr>
      <w:bookmarkStart w:id="0" w:name="_GoBack"/>
      <w:bookmarkEnd w:id="0"/>
      <w:r w:rsidRPr="00A65E11">
        <w:rPr>
          <w:rFonts w:ascii="Times New Roman" w:eastAsia="Times New Roman" w:hAnsi="Times New Roman" w:cs="Times New Roman"/>
          <w:b/>
          <w:sz w:val="27"/>
        </w:rPr>
        <w:t xml:space="preserve"> </w:t>
      </w:r>
    </w:p>
    <w:sectPr w:rsidR="001C604C" w:rsidRPr="00A65E1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4C"/>
    <w:rsid w:val="001C604C"/>
    <w:rsid w:val="003403AA"/>
    <w:rsid w:val="00912476"/>
    <w:rsid w:val="00A65E11"/>
    <w:rsid w:val="00B5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CAC2"/>
  <w15:docId w15:val="{DC5F4910-A3D6-4A7B-A26A-1A9D6B58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2024-02-15T08:38:00Z</dcterms:created>
  <dcterms:modified xsi:type="dcterms:W3CDTF">2024-02-19T07:21:00Z</dcterms:modified>
</cp:coreProperties>
</file>