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90" w:type="dxa"/>
        <w:tblInd w:w="206" w:type="dxa"/>
        <w:tblLook w:val="04A0" w:firstRow="1" w:lastRow="0" w:firstColumn="1" w:lastColumn="0" w:noHBand="0" w:noVBand="1"/>
      </w:tblPr>
      <w:tblGrid>
        <w:gridCol w:w="570"/>
        <w:gridCol w:w="1123"/>
        <w:gridCol w:w="89"/>
        <w:gridCol w:w="90"/>
        <w:gridCol w:w="393"/>
        <w:gridCol w:w="603"/>
        <w:gridCol w:w="6522"/>
      </w:tblGrid>
      <w:tr w:rsidR="00EB7DB7">
        <w:trPr>
          <w:trHeight w:val="9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</w:tcPr>
          <w:p w:rsidR="00A52EF6" w:rsidRDefault="00A52EF6">
            <w:bookmarkStart w:id="0" w:name="_GoBack"/>
            <w:bookmarkEnd w:id="0"/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nil"/>
            </w:tcBorders>
          </w:tcPr>
          <w:p w:rsidR="00A52EF6" w:rsidRDefault="007026AB">
            <w:r>
              <w:rPr>
                <w:rFonts w:ascii="Times New Roman" w:eastAsia="Times New Roman" w:hAnsi="Times New Roman" w:cs="Times New Roman"/>
                <w:color w:val="0000FF"/>
                <w:sz w:val="10"/>
              </w:rPr>
              <w:t xml:space="preserve">      </w:t>
            </w:r>
            <w:r w:rsidR="00EB7DB7">
              <w:rPr>
                <w:noProof/>
              </w:rPr>
              <w:drawing>
                <wp:inline distT="0" distB="0" distL="0" distR="0" wp14:anchorId="76FE4CFB" wp14:editId="14DC2575">
                  <wp:extent cx="710184" cy="710184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84" cy="71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FF"/>
                <w:sz w:val="10"/>
              </w:rPr>
              <w:t xml:space="preserve">    </w:t>
            </w:r>
          </w:p>
        </w:tc>
        <w:tc>
          <w:tcPr>
            <w:tcW w:w="98" w:type="dxa"/>
            <w:tcBorders>
              <w:top w:val="single" w:sz="4" w:space="0" w:color="000000"/>
              <w:left w:val="single" w:sz="2" w:space="0" w:color="0000FF"/>
              <w:bottom w:val="single" w:sz="2" w:space="0" w:color="0000FF"/>
              <w:right w:val="double" w:sz="2" w:space="0" w:color="0000FF"/>
            </w:tcBorders>
          </w:tcPr>
          <w:p w:rsidR="00A52EF6" w:rsidRDefault="00A52EF6"/>
        </w:tc>
        <w:tc>
          <w:tcPr>
            <w:tcW w:w="98" w:type="dxa"/>
            <w:tcBorders>
              <w:top w:val="single" w:sz="4" w:space="0" w:color="000000"/>
              <w:left w:val="double" w:sz="2" w:space="0" w:color="0000FF"/>
              <w:bottom w:val="single" w:sz="2" w:space="0" w:color="0000FF"/>
              <w:right w:val="single" w:sz="2" w:space="0" w:color="0000FF"/>
            </w:tcBorders>
          </w:tcPr>
          <w:p w:rsidR="00A52EF6" w:rsidRDefault="00A52EF6"/>
        </w:tc>
        <w:tc>
          <w:tcPr>
            <w:tcW w:w="42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FFFFFF"/>
            </w:tcBorders>
          </w:tcPr>
          <w:p w:rsidR="00A52EF6" w:rsidRDefault="007026AB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7638" w:type="dxa"/>
            <w:gridSpan w:val="2"/>
            <w:vMerge w:val="restart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EB7DB7" w:rsidRDefault="00EB7DB7" w:rsidP="00EB7DB7">
            <w:pPr>
              <w:ind w:left="1075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UNIVERSITY OF BANJA LUKA</w:t>
            </w:r>
          </w:p>
          <w:p w:rsidR="00A52EF6" w:rsidRDefault="00EB7DB7" w:rsidP="00EB7DB7">
            <w:pPr>
              <w:ind w:left="107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FACULTY OF PHILOLOGY</w:t>
            </w:r>
            <w:r w:rsidR="007026AB"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  <w:p w:rsidR="00A52EF6" w:rsidRDefault="007026AB"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</w:tc>
      </w:tr>
      <w:tr w:rsidR="00EB7DB7">
        <w:trPr>
          <w:trHeight w:val="10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FFFFFF"/>
            </w:tcBorders>
          </w:tcPr>
          <w:p w:rsidR="00A52EF6" w:rsidRDefault="00A52EF6"/>
        </w:tc>
        <w:tc>
          <w:tcPr>
            <w:tcW w:w="0" w:type="auto"/>
            <w:vMerge/>
            <w:tcBorders>
              <w:top w:val="nil"/>
              <w:left w:val="single" w:sz="2" w:space="0" w:color="FFFFFF"/>
              <w:bottom w:val="single" w:sz="4" w:space="0" w:color="000000"/>
              <w:right w:val="nil"/>
            </w:tcBorders>
          </w:tcPr>
          <w:p w:rsidR="00A52EF6" w:rsidRDefault="00A52EF6"/>
        </w:tc>
        <w:tc>
          <w:tcPr>
            <w:tcW w:w="98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:rsidR="00A52EF6" w:rsidRDefault="00A52EF6">
            <w:pPr>
              <w:ind w:left="-499" w:right="-521"/>
            </w:pPr>
          </w:p>
        </w:tc>
        <w:tc>
          <w:tcPr>
            <w:tcW w:w="98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:rsidR="00A52EF6" w:rsidRDefault="00A52EF6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2" w:space="0" w:color="FFFFFF"/>
            </w:tcBorders>
          </w:tcPr>
          <w:p w:rsidR="00A52EF6" w:rsidRDefault="00A52EF6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FFFFFF"/>
              <w:bottom w:val="single" w:sz="4" w:space="0" w:color="000000"/>
              <w:right w:val="single" w:sz="4" w:space="0" w:color="000000"/>
            </w:tcBorders>
          </w:tcPr>
          <w:p w:rsidR="00A52EF6" w:rsidRDefault="00A52EF6"/>
        </w:tc>
      </w:tr>
      <w:tr w:rsidR="00EB7DB7">
        <w:trPr>
          <w:trHeight w:val="281"/>
        </w:trPr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F6" w:rsidRDefault="00A52EF6"/>
        </w:tc>
        <w:tc>
          <w:tcPr>
            <w:tcW w:w="8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2EF6" w:rsidRDefault="00EB7DB7" w:rsidP="00EB7DB7">
            <w:pPr>
              <w:ind w:left="188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Graduate academic studies</w:t>
            </w:r>
            <w:r w:rsidR="007026AB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EB7DB7">
        <w:trPr>
          <w:trHeight w:val="271"/>
        </w:trPr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F6" w:rsidRDefault="00EB7DB7" w:rsidP="00EB7DB7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Study program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2EF6" w:rsidRDefault="007026AB">
            <w:pPr>
              <w:ind w:left="-1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A52EF6" w:rsidRDefault="007026AB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</w:tbl>
    <w:p w:rsidR="00A52EF6" w:rsidRDefault="007026AB">
      <w:pPr>
        <w:spacing w:after="0"/>
        <w:ind w:left="312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tbl>
      <w:tblPr>
        <w:tblStyle w:val="TableGrid"/>
        <w:tblW w:w="9386" w:type="dxa"/>
        <w:tblInd w:w="210" w:type="dxa"/>
        <w:tblCellMar>
          <w:top w:w="47" w:type="dxa"/>
          <w:left w:w="102" w:type="dxa"/>
          <w:right w:w="90" w:type="dxa"/>
        </w:tblCellMar>
        <w:tblLook w:val="04A0" w:firstRow="1" w:lastRow="0" w:firstColumn="1" w:lastColumn="0" w:noHBand="0" w:noVBand="1"/>
      </w:tblPr>
      <w:tblGrid>
        <w:gridCol w:w="1796"/>
        <w:gridCol w:w="1800"/>
        <w:gridCol w:w="1589"/>
        <w:gridCol w:w="1574"/>
        <w:gridCol w:w="2627"/>
      </w:tblGrid>
      <w:tr w:rsidR="00A52EF6">
        <w:trPr>
          <w:trHeight w:val="247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F6" w:rsidRDefault="00EB7DB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Subject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</w:tcPr>
          <w:p w:rsidR="00A52EF6" w:rsidRDefault="00EB7DB7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Semiotics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3B3B3"/>
          </w:tcPr>
          <w:p w:rsidR="00A52EF6" w:rsidRDefault="00A52EF6"/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3B3B3"/>
          </w:tcPr>
          <w:p w:rsidR="00A52EF6" w:rsidRDefault="00A52EF6"/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A52EF6" w:rsidRDefault="00A52EF6"/>
        </w:tc>
      </w:tr>
      <w:tr w:rsidR="00EB7DB7" w:rsidTr="007C3BB0">
        <w:trPr>
          <w:trHeight w:val="505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B7" w:rsidRDefault="00EB7DB7" w:rsidP="00EB7DB7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EB7DB7" w:rsidRDefault="00EB7DB7" w:rsidP="00EB7DB7">
            <w:r>
              <w:rPr>
                <w:rFonts w:ascii="Times New Roman" w:eastAsia="Times New Roman" w:hAnsi="Times New Roman" w:cs="Times New Roman"/>
                <w:b/>
                <w:sz w:val="21"/>
              </w:rPr>
              <w:t>Subject code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B7" w:rsidRDefault="00EB7DB7" w:rsidP="00EB7DB7">
            <w:pPr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Subject status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B7" w:rsidRDefault="00EB7DB7" w:rsidP="00EB7DB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Semester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B7" w:rsidRDefault="00EB7DB7" w:rsidP="00EB7DB7">
            <w:pPr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Classes fund</w:t>
            </w: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B7" w:rsidRDefault="00EB7DB7" w:rsidP="00EB7DB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Number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ECTS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points</w:t>
            </w:r>
          </w:p>
        </w:tc>
      </w:tr>
      <w:tr w:rsidR="00A52EF6">
        <w:trPr>
          <w:trHeight w:val="26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F6" w:rsidRDefault="007026AB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F6" w:rsidRDefault="007026AB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F6" w:rsidRDefault="007026AB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F6" w:rsidRDefault="007026AB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F6" w:rsidRDefault="007026AB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A52EF6">
        <w:trPr>
          <w:trHeight w:val="247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A52EF6" w:rsidRDefault="00EB7DB7">
            <w:r>
              <w:rPr>
                <w:rFonts w:ascii="Times New Roman" w:eastAsia="Times New Roman" w:hAnsi="Times New Roman" w:cs="Times New Roman"/>
                <w:b/>
                <w:sz w:val="21"/>
              </w:rPr>
              <w:t>Professors:</w:t>
            </w:r>
            <w:r w:rsidR="007026AB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F6" w:rsidRDefault="00EB7DB7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Dalibor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Kesić</w:t>
            </w:r>
            <w:proofErr w:type="spellEnd"/>
            <w:r w:rsidR="007026AB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52EF6" w:rsidRDefault="00A52EF6"/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52EF6" w:rsidRDefault="00A52EF6"/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2EF6" w:rsidRDefault="00A52EF6"/>
        </w:tc>
      </w:tr>
    </w:tbl>
    <w:p w:rsidR="00A52EF6" w:rsidRDefault="007026AB">
      <w:pPr>
        <w:spacing w:after="0"/>
        <w:ind w:left="312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386" w:type="dxa"/>
        <w:tblInd w:w="210" w:type="dxa"/>
        <w:tblCellMar>
          <w:top w:w="42" w:type="dxa"/>
          <w:left w:w="101" w:type="dxa"/>
          <w:right w:w="222" w:type="dxa"/>
        </w:tblCellMar>
        <w:tblLook w:val="04A0" w:firstRow="1" w:lastRow="0" w:firstColumn="1" w:lastColumn="0" w:noHBand="0" w:noVBand="1"/>
      </w:tblPr>
      <w:tblGrid>
        <w:gridCol w:w="2511"/>
        <w:gridCol w:w="1094"/>
        <w:gridCol w:w="1930"/>
        <w:gridCol w:w="1051"/>
        <w:gridCol w:w="1925"/>
        <w:gridCol w:w="875"/>
      </w:tblGrid>
      <w:tr w:rsidR="00A52EF6">
        <w:trPr>
          <w:trHeight w:val="255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3B3B3"/>
          </w:tcPr>
          <w:p w:rsidR="00A52EF6" w:rsidRDefault="00EB7DB7">
            <w:r>
              <w:rPr>
                <w:rFonts w:ascii="Times New Roman" w:eastAsia="Times New Roman" w:hAnsi="Times New Roman" w:cs="Times New Roman"/>
                <w:b/>
                <w:sz w:val="21"/>
              </w:rPr>
              <w:t>Conditioned by other subjects</w:t>
            </w:r>
          </w:p>
        </w:tc>
      </w:tr>
      <w:tr w:rsidR="00A52EF6">
        <w:trPr>
          <w:trHeight w:val="259"/>
        </w:trPr>
        <w:tc>
          <w:tcPr>
            <w:tcW w:w="9386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F6" w:rsidRDefault="007026AB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EB7DB7">
        <w:trPr>
          <w:trHeight w:val="257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EB7DB7" w:rsidRDefault="00EB7DB7" w:rsidP="00EB7DB7">
            <w:r w:rsidRPr="00094DF8">
              <w:rPr>
                <w:rFonts w:ascii="Times New Roman" w:eastAsia="Times New Roman" w:hAnsi="Times New Roman" w:cs="Times New Roman"/>
                <w:b/>
                <w:sz w:val="21"/>
              </w:rPr>
              <w:t>Objectives of studying the subject:</w:t>
            </w:r>
          </w:p>
        </w:tc>
      </w:tr>
      <w:tr w:rsidR="00EB7DB7">
        <w:trPr>
          <w:trHeight w:val="994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B7" w:rsidRDefault="00EB7DB7" w:rsidP="00EB7DB7">
            <w:pPr>
              <w:ind w:right="59"/>
              <w:jc w:val="both"/>
            </w:pPr>
            <w:r w:rsidRPr="00EB7DB7">
              <w:rPr>
                <w:rFonts w:ascii="Times New Roman" w:eastAsia="Times New Roman" w:hAnsi="Times New Roman" w:cs="Times New Roman"/>
                <w:sz w:val="21"/>
              </w:rPr>
              <w:t xml:space="preserve">The main goal of studying the subject is to acquire knowledge in the field of sign systems. Considering the fact that Semiotics goes beyond the boundaries of linguistic signification, students </w:t>
            </w:r>
            <w:proofErr w:type="gramStart"/>
            <w:r w:rsidRPr="00EB7DB7">
              <w:rPr>
                <w:rFonts w:ascii="Times New Roman" w:eastAsia="Times New Roman" w:hAnsi="Times New Roman" w:cs="Times New Roman"/>
                <w:sz w:val="21"/>
              </w:rPr>
              <w:t>are given</w:t>
            </w:r>
            <w:proofErr w:type="gramEnd"/>
            <w:r w:rsidRPr="00EB7DB7">
              <w:rPr>
                <w:rFonts w:ascii="Times New Roman" w:eastAsia="Times New Roman" w:hAnsi="Times New Roman" w:cs="Times New Roman"/>
                <w:sz w:val="21"/>
              </w:rPr>
              <w:t xml:space="preserve"> the opportunity to learn about the correlations that exist between other basic sign systems and sign systems within language as well as the implications of the interaction of signs within a text.</w:t>
            </w:r>
          </w:p>
        </w:tc>
      </w:tr>
      <w:tr w:rsidR="00EB7DB7">
        <w:trPr>
          <w:trHeight w:val="250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EB7DB7" w:rsidRDefault="00EB7DB7" w:rsidP="00EB7DB7">
            <w:r>
              <w:rPr>
                <w:rFonts w:ascii="Times New Roman" w:eastAsia="Times New Roman" w:hAnsi="Times New Roman" w:cs="Times New Roman"/>
                <w:b/>
                <w:sz w:val="21"/>
              </w:rPr>
              <w:t>Learning outcomes (acquired knowledge):</w:t>
            </w:r>
          </w:p>
        </w:tc>
      </w:tr>
      <w:tr w:rsidR="00EB7DB7">
        <w:trPr>
          <w:trHeight w:val="2474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B7" w:rsidRPr="00EB7DB7" w:rsidRDefault="00EB7DB7" w:rsidP="00EB7DB7">
            <w:pPr>
              <w:spacing w:after="26" w:line="241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EB7DB7">
              <w:rPr>
                <w:rFonts w:ascii="Times New Roman" w:eastAsia="Times New Roman" w:hAnsi="Times New Roman" w:cs="Times New Roman"/>
                <w:sz w:val="21"/>
              </w:rPr>
              <w:t>After attending lectures and successfully passing the exam, students will have knowledge in the field of sign science, and will be able to answer questions such as:</w:t>
            </w:r>
          </w:p>
          <w:p w:rsidR="00EB7DB7" w:rsidRPr="00EB7DB7" w:rsidRDefault="00EB7DB7" w:rsidP="00EB7DB7">
            <w:pPr>
              <w:pStyle w:val="ListParagraph"/>
              <w:numPr>
                <w:ilvl w:val="0"/>
                <w:numId w:val="3"/>
              </w:numPr>
              <w:spacing w:after="26" w:line="241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EB7DB7">
              <w:rPr>
                <w:rFonts w:ascii="Times New Roman" w:eastAsia="Times New Roman" w:hAnsi="Times New Roman" w:cs="Times New Roman"/>
                <w:sz w:val="21"/>
              </w:rPr>
              <w:t>What is a sign?</w:t>
            </w:r>
          </w:p>
          <w:p w:rsidR="00EB7DB7" w:rsidRPr="00EB7DB7" w:rsidRDefault="00EB7DB7" w:rsidP="00EB7DB7">
            <w:pPr>
              <w:pStyle w:val="ListParagraph"/>
              <w:numPr>
                <w:ilvl w:val="0"/>
                <w:numId w:val="3"/>
              </w:numPr>
              <w:spacing w:after="26" w:line="241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EB7DB7">
              <w:rPr>
                <w:rFonts w:ascii="Times New Roman" w:eastAsia="Times New Roman" w:hAnsi="Times New Roman" w:cs="Times New Roman"/>
                <w:sz w:val="21"/>
              </w:rPr>
              <w:t>What is a linguistic sign?</w:t>
            </w:r>
          </w:p>
          <w:p w:rsidR="00EB7DB7" w:rsidRPr="00EB7DB7" w:rsidRDefault="00EB7DB7" w:rsidP="00EB7DB7">
            <w:pPr>
              <w:pStyle w:val="ListParagraph"/>
              <w:numPr>
                <w:ilvl w:val="0"/>
                <w:numId w:val="3"/>
              </w:numPr>
              <w:spacing w:after="26" w:line="241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EB7DB7">
              <w:rPr>
                <w:rFonts w:ascii="Times New Roman" w:eastAsia="Times New Roman" w:hAnsi="Times New Roman" w:cs="Times New Roman"/>
                <w:sz w:val="21"/>
              </w:rPr>
              <w:t>Which labeling and codes do we adopt consciously and which subconsciously? - What is text?</w:t>
            </w:r>
          </w:p>
          <w:p w:rsidR="00EB7DB7" w:rsidRPr="00EB7DB7" w:rsidRDefault="00EB7DB7" w:rsidP="00EB7DB7">
            <w:pPr>
              <w:pStyle w:val="ListParagraph"/>
              <w:numPr>
                <w:ilvl w:val="0"/>
                <w:numId w:val="3"/>
              </w:numPr>
              <w:spacing w:after="26" w:line="241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EB7DB7">
              <w:rPr>
                <w:rFonts w:ascii="Times New Roman" w:eastAsia="Times New Roman" w:hAnsi="Times New Roman" w:cs="Times New Roman"/>
                <w:sz w:val="21"/>
              </w:rPr>
              <w:t xml:space="preserve">How </w:t>
            </w:r>
            <w:proofErr w:type="gramStart"/>
            <w:r w:rsidRPr="00EB7DB7">
              <w:rPr>
                <w:rFonts w:ascii="Times New Roman" w:eastAsia="Times New Roman" w:hAnsi="Times New Roman" w:cs="Times New Roman"/>
                <w:sz w:val="21"/>
              </w:rPr>
              <w:t>can Semiotics be used</w:t>
            </w:r>
            <w:proofErr w:type="gramEnd"/>
            <w:r w:rsidRPr="00EB7DB7">
              <w:rPr>
                <w:rFonts w:ascii="Times New Roman" w:eastAsia="Times New Roman" w:hAnsi="Times New Roman" w:cs="Times New Roman"/>
                <w:sz w:val="21"/>
              </w:rPr>
              <w:t xml:space="preserve"> in textual analysis?</w:t>
            </w:r>
          </w:p>
          <w:p w:rsidR="00EB7DB7" w:rsidRPr="00EB7DB7" w:rsidRDefault="00EB7DB7" w:rsidP="00EB7DB7">
            <w:pPr>
              <w:pStyle w:val="ListParagraph"/>
              <w:numPr>
                <w:ilvl w:val="0"/>
                <w:numId w:val="3"/>
              </w:numPr>
              <w:spacing w:after="26" w:line="241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EB7DB7">
              <w:rPr>
                <w:rFonts w:ascii="Times New Roman" w:eastAsia="Times New Roman" w:hAnsi="Times New Roman" w:cs="Times New Roman"/>
                <w:sz w:val="21"/>
              </w:rPr>
              <w:t>What is the interdependence of sign systems?</w:t>
            </w:r>
          </w:p>
          <w:p w:rsidR="00EB7DB7" w:rsidRDefault="00EB7DB7" w:rsidP="00EB7DB7">
            <w:pPr>
              <w:jc w:val="both"/>
            </w:pPr>
            <w:proofErr w:type="gramStart"/>
            <w:r w:rsidRPr="00EB7DB7">
              <w:rPr>
                <w:rFonts w:ascii="Times New Roman" w:eastAsia="Times New Roman" w:hAnsi="Times New Roman" w:cs="Times New Roman"/>
                <w:sz w:val="21"/>
              </w:rPr>
              <w:t>as</w:t>
            </w:r>
            <w:proofErr w:type="gramEnd"/>
            <w:r w:rsidRPr="00EB7DB7">
              <w:rPr>
                <w:rFonts w:ascii="Times New Roman" w:eastAsia="Times New Roman" w:hAnsi="Times New Roman" w:cs="Times New Roman"/>
                <w:sz w:val="21"/>
              </w:rPr>
              <w:t xml:space="preserve"> well as many other questions concerning the function of signification in language, everyday life and science.</w:t>
            </w:r>
          </w:p>
        </w:tc>
      </w:tr>
      <w:tr w:rsidR="00EB7DB7">
        <w:trPr>
          <w:trHeight w:val="257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EB7DB7" w:rsidRDefault="00EB7DB7" w:rsidP="00EB7DB7">
            <w:r>
              <w:rPr>
                <w:rFonts w:ascii="Times New Roman" w:eastAsia="Times New Roman" w:hAnsi="Times New Roman" w:cs="Times New Roman"/>
                <w:b/>
                <w:sz w:val="21"/>
              </w:rPr>
              <w:t>Subject content:</w:t>
            </w:r>
          </w:p>
        </w:tc>
      </w:tr>
      <w:tr w:rsidR="00EB7DB7">
        <w:trPr>
          <w:trHeight w:val="1985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B7" w:rsidRDefault="00EB7DB7" w:rsidP="00EB7DB7">
            <w:pPr>
              <w:spacing w:after="11" w:line="261" w:lineRule="auto"/>
              <w:ind w:left="350" w:right="4468" w:hanging="350"/>
              <w:rPr>
                <w:rFonts w:ascii="Times New Roman" w:eastAsia="Times New Roman" w:hAnsi="Times New Roman" w:cs="Times New Roman"/>
                <w:sz w:val="21"/>
              </w:rPr>
            </w:pPr>
            <w:r w:rsidRPr="00EB7DB7">
              <w:rPr>
                <w:rFonts w:ascii="Times New Roman" w:eastAsia="Times New Roman" w:hAnsi="Times New Roman" w:cs="Times New Roman"/>
                <w:sz w:val="21"/>
              </w:rPr>
              <w:t>The course will focus on the following areas:</w:t>
            </w:r>
          </w:p>
          <w:p w:rsidR="00EB7DB7" w:rsidRPr="00EB7DB7" w:rsidRDefault="00EB7DB7" w:rsidP="00EB7DB7">
            <w:pPr>
              <w:pStyle w:val="ListParagraph"/>
              <w:numPr>
                <w:ilvl w:val="0"/>
                <w:numId w:val="4"/>
              </w:numPr>
              <w:spacing w:after="11" w:line="261" w:lineRule="auto"/>
              <w:ind w:right="4468"/>
              <w:rPr>
                <w:rFonts w:ascii="Times New Roman" w:eastAsia="Times New Roman" w:hAnsi="Times New Roman" w:cs="Times New Roman"/>
                <w:sz w:val="21"/>
              </w:rPr>
            </w:pPr>
            <w:r w:rsidRPr="00EB7DB7">
              <w:rPr>
                <w:rFonts w:ascii="Times New Roman" w:eastAsia="Times New Roman" w:hAnsi="Times New Roman" w:cs="Times New Roman"/>
                <w:sz w:val="21"/>
              </w:rPr>
              <w:t>Introduction to Semiotics</w:t>
            </w:r>
          </w:p>
          <w:p w:rsidR="00EB7DB7" w:rsidRPr="00EB7DB7" w:rsidRDefault="00EB7DB7" w:rsidP="00EB7DB7">
            <w:pPr>
              <w:pStyle w:val="ListParagraph"/>
              <w:numPr>
                <w:ilvl w:val="0"/>
                <w:numId w:val="4"/>
              </w:numPr>
              <w:spacing w:after="11" w:line="261" w:lineRule="auto"/>
              <w:ind w:right="4468"/>
              <w:rPr>
                <w:rFonts w:ascii="Times New Roman" w:eastAsia="Times New Roman" w:hAnsi="Times New Roman" w:cs="Times New Roman"/>
                <w:sz w:val="21"/>
              </w:rPr>
            </w:pPr>
            <w:r w:rsidRPr="00EB7DB7">
              <w:rPr>
                <w:rFonts w:ascii="Times New Roman" w:eastAsia="Times New Roman" w:hAnsi="Times New Roman" w:cs="Times New Roman"/>
                <w:sz w:val="21"/>
              </w:rPr>
              <w:t>Different approaches to the considerat</w:t>
            </w:r>
            <w:r>
              <w:rPr>
                <w:rFonts w:ascii="Times New Roman" w:eastAsia="Times New Roman" w:hAnsi="Times New Roman" w:cs="Times New Roman"/>
                <w:sz w:val="21"/>
              </w:rPr>
              <w:t>ion of the sign - Denoting things</w:t>
            </w:r>
            <w:r w:rsidRPr="00EB7DB7">
              <w:rPr>
                <w:rFonts w:ascii="Times New Roman" w:eastAsia="Times New Roman" w:hAnsi="Times New Roman" w:cs="Times New Roman"/>
                <w:sz w:val="21"/>
              </w:rPr>
              <w:t xml:space="preserve"> and referentiality</w:t>
            </w:r>
          </w:p>
          <w:p w:rsidR="00EB7DB7" w:rsidRPr="00EB7DB7" w:rsidRDefault="00EB7DB7" w:rsidP="00EB7DB7">
            <w:pPr>
              <w:pStyle w:val="ListParagraph"/>
              <w:numPr>
                <w:ilvl w:val="0"/>
                <w:numId w:val="4"/>
              </w:numPr>
              <w:spacing w:after="11" w:line="261" w:lineRule="auto"/>
              <w:ind w:right="4468"/>
              <w:rPr>
                <w:rFonts w:ascii="Times New Roman" w:eastAsia="Times New Roman" w:hAnsi="Times New Roman" w:cs="Times New Roman"/>
                <w:sz w:val="21"/>
              </w:rPr>
            </w:pPr>
            <w:r w:rsidRPr="00EB7DB7">
              <w:rPr>
                <w:rFonts w:ascii="Times New Roman" w:eastAsia="Times New Roman" w:hAnsi="Times New Roman" w:cs="Times New Roman"/>
                <w:sz w:val="21"/>
              </w:rPr>
              <w:t>Analyzing structures</w:t>
            </w:r>
          </w:p>
          <w:p w:rsidR="00EB7DB7" w:rsidRPr="00EB7DB7" w:rsidRDefault="00EB7DB7" w:rsidP="00EB7DB7">
            <w:pPr>
              <w:pStyle w:val="ListParagraph"/>
              <w:numPr>
                <w:ilvl w:val="0"/>
                <w:numId w:val="4"/>
              </w:numPr>
              <w:spacing w:after="11" w:line="261" w:lineRule="auto"/>
              <w:ind w:right="4468"/>
              <w:rPr>
                <w:rFonts w:ascii="Times New Roman" w:eastAsia="Times New Roman" w:hAnsi="Times New Roman" w:cs="Times New Roman"/>
                <w:sz w:val="21"/>
              </w:rPr>
            </w:pPr>
            <w:r w:rsidRPr="00EB7DB7">
              <w:rPr>
                <w:rFonts w:ascii="Times New Roman" w:eastAsia="Times New Roman" w:hAnsi="Times New Roman" w:cs="Times New Roman"/>
                <w:sz w:val="21"/>
              </w:rPr>
              <w:t>Perception of codes</w:t>
            </w:r>
          </w:p>
          <w:p w:rsidR="00EB7DB7" w:rsidRPr="00EB7DB7" w:rsidRDefault="00EB7DB7" w:rsidP="00EB7DB7">
            <w:pPr>
              <w:pStyle w:val="ListParagraph"/>
              <w:numPr>
                <w:ilvl w:val="0"/>
                <w:numId w:val="4"/>
              </w:numPr>
              <w:spacing w:after="11" w:line="261" w:lineRule="auto"/>
              <w:ind w:right="4468"/>
              <w:rPr>
                <w:rFonts w:ascii="Times New Roman" w:eastAsia="Times New Roman" w:hAnsi="Times New Roman" w:cs="Times New Roman"/>
                <w:sz w:val="21"/>
              </w:rPr>
            </w:pPr>
            <w:r w:rsidRPr="00EB7DB7">
              <w:rPr>
                <w:rFonts w:ascii="Times New Roman" w:eastAsia="Times New Roman" w:hAnsi="Times New Roman" w:cs="Times New Roman"/>
                <w:sz w:val="21"/>
              </w:rPr>
              <w:t>Mutual interactions of texts</w:t>
            </w:r>
          </w:p>
          <w:p w:rsidR="00EB7DB7" w:rsidRDefault="00EB7DB7" w:rsidP="00EB7DB7">
            <w:pPr>
              <w:pStyle w:val="ListParagraph"/>
              <w:numPr>
                <w:ilvl w:val="0"/>
                <w:numId w:val="4"/>
              </w:numPr>
            </w:pPr>
            <w:r w:rsidRPr="00EB7DB7">
              <w:rPr>
                <w:rFonts w:ascii="Times New Roman" w:eastAsia="Times New Roman" w:hAnsi="Times New Roman" w:cs="Times New Roman"/>
                <w:sz w:val="21"/>
              </w:rPr>
              <w:t>Practical limitations and practical possibilities of applied Semiotics</w:t>
            </w:r>
          </w:p>
        </w:tc>
      </w:tr>
      <w:tr w:rsidR="00EB7DB7">
        <w:trPr>
          <w:trHeight w:val="252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EB7DB7" w:rsidRDefault="00EB7DB7" w:rsidP="00EB7DB7">
            <w:r w:rsidRPr="00094DF8">
              <w:rPr>
                <w:rFonts w:ascii="Times New Roman" w:eastAsia="Times New Roman" w:hAnsi="Times New Roman" w:cs="Times New Roman"/>
                <w:b/>
                <w:sz w:val="21"/>
              </w:rPr>
              <w:t>Methods of teaching and mastering the material:</w:t>
            </w:r>
          </w:p>
        </w:tc>
      </w:tr>
      <w:tr w:rsidR="00EB7DB7">
        <w:trPr>
          <w:trHeight w:val="751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B7" w:rsidRDefault="00EB7DB7" w:rsidP="00EB7DB7">
            <w:pPr>
              <w:ind w:right="54"/>
              <w:jc w:val="both"/>
            </w:pPr>
            <w:r w:rsidRPr="00EB7DB7">
              <w:rPr>
                <w:rFonts w:ascii="Times New Roman" w:eastAsia="Times New Roman" w:hAnsi="Times New Roman" w:cs="Times New Roman"/>
                <w:sz w:val="21"/>
              </w:rPr>
              <w:t xml:space="preserve">Classes </w:t>
            </w:r>
            <w:proofErr w:type="gramStart"/>
            <w:r w:rsidRPr="00EB7DB7">
              <w:rPr>
                <w:rFonts w:ascii="Times New Roman" w:eastAsia="Times New Roman" w:hAnsi="Times New Roman" w:cs="Times New Roman"/>
                <w:sz w:val="21"/>
              </w:rPr>
              <w:t>are held</w:t>
            </w:r>
            <w:proofErr w:type="gramEnd"/>
            <w:r w:rsidRPr="00EB7DB7">
              <w:rPr>
                <w:rFonts w:ascii="Times New Roman" w:eastAsia="Times New Roman" w:hAnsi="Times New Roman" w:cs="Times New Roman"/>
                <w:sz w:val="21"/>
              </w:rPr>
              <w:t xml:space="preserve"> in small groups through lectures and sessions dedicated to clarifying areas of special interest in Semiotics. If necessary, focus lectures can be organized for those areas that require a more detailed interpretation</w:t>
            </w:r>
          </w:p>
        </w:tc>
      </w:tr>
      <w:tr w:rsidR="00EB7DB7">
        <w:trPr>
          <w:trHeight w:val="252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EB7DB7" w:rsidRDefault="00EB7DB7" w:rsidP="00EB7DB7">
            <w:r>
              <w:rPr>
                <w:rFonts w:ascii="Times New Roman" w:eastAsia="Times New Roman" w:hAnsi="Times New Roman" w:cs="Times New Roman"/>
                <w:b/>
                <w:sz w:val="21"/>
              </w:rPr>
              <w:t>Literature:</w:t>
            </w:r>
            <w:r w:rsidRPr="00094DF8">
              <w:rPr>
                <w:rFonts w:ascii="Times New Roman" w:eastAsia="Times New Roman" w:hAnsi="Times New Roman" w:cs="Times New Roman"/>
                <w:b/>
                <w:sz w:val="21"/>
              </w:rPr>
              <w:t xml:space="preserve"> Forms of knowledge testing and assessment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>:</w:t>
            </w:r>
          </w:p>
        </w:tc>
      </w:tr>
      <w:tr w:rsidR="00EB7DB7">
        <w:trPr>
          <w:trHeight w:val="1000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B7" w:rsidRDefault="00EB7DB7" w:rsidP="00EB7DB7">
            <w:r>
              <w:rPr>
                <w:rFonts w:ascii="Times New Roman" w:eastAsia="Times New Roman" w:hAnsi="Times New Roman" w:cs="Times New Roman"/>
                <w:sz w:val="21"/>
              </w:rPr>
              <w:t xml:space="preserve">Chandler, Daniel (2002)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>Semitics: The Basics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. Routledge: London </w:t>
            </w:r>
          </w:p>
          <w:p w:rsidR="00EB7DB7" w:rsidRDefault="00EB7DB7" w:rsidP="00EB7DB7"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Barthers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Roland (1982)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>Empire of Signs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(trans. Richard Howard). New York: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Hill&amp;Wang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EB7DB7" w:rsidRDefault="00EB7DB7" w:rsidP="00EB7DB7">
            <w:r>
              <w:rPr>
                <w:rFonts w:ascii="Times New Roman" w:eastAsia="Times New Roman" w:hAnsi="Times New Roman" w:cs="Times New Roman"/>
                <w:sz w:val="21"/>
              </w:rPr>
              <w:t xml:space="preserve">Eco, Umberto      (1976)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>A Theory of Semiotics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. Bloomington, IN: Indiana University Press/London: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Mcmillan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</w:p>
        </w:tc>
      </w:tr>
      <w:tr w:rsidR="00EB7DB7">
        <w:trPr>
          <w:trHeight w:val="995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B7" w:rsidRDefault="00EB7DB7" w:rsidP="00EB7DB7">
            <w:pPr>
              <w:spacing w:line="236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 xml:space="preserve">Eco, Umberto      (1984)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>Semiotics and the Philosophy of Language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. Bloomington, IN: Indiana University Press </w:t>
            </w:r>
          </w:p>
          <w:p w:rsidR="00EB7DB7" w:rsidRDefault="00EB7DB7" w:rsidP="00EB7DB7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Kristeva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Julia (1980)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>Desire in Language: A Semiotic Approach to Literature and Art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. New York: Columbia University Press </w:t>
            </w:r>
          </w:p>
        </w:tc>
      </w:tr>
      <w:tr w:rsidR="00EB7DB7">
        <w:trPr>
          <w:trHeight w:val="257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EB7DB7" w:rsidRDefault="00EB7DB7" w:rsidP="00EB7DB7">
            <w:pPr>
              <w:ind w:left="1"/>
            </w:pPr>
            <w:r w:rsidRPr="00094DF8">
              <w:rPr>
                <w:rFonts w:ascii="Times New Roman" w:eastAsia="Times New Roman" w:hAnsi="Times New Roman" w:cs="Times New Roman"/>
                <w:b/>
                <w:sz w:val="21"/>
              </w:rPr>
              <w:t>Forms of knowledge testing and assessment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>:</w:t>
            </w:r>
          </w:p>
        </w:tc>
      </w:tr>
      <w:tr w:rsidR="00EB7DB7">
        <w:trPr>
          <w:trHeight w:val="251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B7" w:rsidRDefault="00EB7DB7" w:rsidP="00EB7DB7">
            <w:pPr>
              <w:ind w:left="1"/>
            </w:pPr>
            <w:r w:rsidRPr="00EB7DB7">
              <w:rPr>
                <w:rFonts w:ascii="Times New Roman" w:eastAsia="Times New Roman" w:hAnsi="Times New Roman" w:cs="Times New Roman"/>
                <w:sz w:val="21"/>
              </w:rPr>
              <w:t>Knowledge is tested in writing and orally</w:t>
            </w:r>
          </w:p>
        </w:tc>
      </w:tr>
      <w:tr w:rsidR="00EB7DB7" w:rsidTr="00EB7DB7">
        <w:trPr>
          <w:trHeight w:val="259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B7" w:rsidRDefault="00EB7DB7" w:rsidP="00EB7DB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Written exam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B7" w:rsidRDefault="00EB7DB7" w:rsidP="00EB7DB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50%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B7" w:rsidRDefault="00EB7DB7" w:rsidP="00EB7DB7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B7" w:rsidRDefault="00EB7DB7" w:rsidP="00EB7DB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B7" w:rsidRDefault="00EB7DB7" w:rsidP="00EB7DB7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B7" w:rsidRDefault="00EB7DB7" w:rsidP="00EB7DB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B7DB7" w:rsidTr="00EB7DB7">
        <w:trPr>
          <w:trHeight w:val="257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B7DB7" w:rsidRDefault="00EB7DB7" w:rsidP="00EB7DB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Oral exam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B7DB7" w:rsidRDefault="00EB7DB7" w:rsidP="00EB7DB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50%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B7DB7" w:rsidRDefault="00EB7DB7" w:rsidP="00EB7DB7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B7DB7" w:rsidRDefault="00EB7DB7" w:rsidP="00EB7DB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B7DB7" w:rsidRDefault="00EB7DB7" w:rsidP="00EB7DB7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B7DB7" w:rsidRDefault="00EB7DB7" w:rsidP="00EB7DB7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EB7DB7">
        <w:trPr>
          <w:trHeight w:val="255"/>
        </w:trPr>
        <w:tc>
          <w:tcPr>
            <w:tcW w:w="9386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EB7DB7" w:rsidRDefault="00EB7DB7" w:rsidP="00EB7DB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Special indication for the subject</w:t>
            </w:r>
          </w:p>
        </w:tc>
      </w:tr>
      <w:tr w:rsidR="00EB7DB7">
        <w:trPr>
          <w:trHeight w:val="262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B7" w:rsidRDefault="00EB7DB7" w:rsidP="00EB7DB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EB7DB7">
        <w:trPr>
          <w:trHeight w:val="247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EB7DB7" w:rsidRDefault="00EB7DB7" w:rsidP="00EB7DB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Name and surname of the professor</w:t>
            </w:r>
            <w:r w:rsidRPr="00EB7DB7">
              <w:rPr>
                <w:rFonts w:ascii="Times New Roman" w:eastAsia="Times New Roman" w:hAnsi="Times New Roman" w:cs="Times New Roman"/>
                <w:b/>
                <w:sz w:val="21"/>
              </w:rPr>
              <w:t xml:space="preserve"> who prepared the data: </w:t>
            </w:r>
            <w:proofErr w:type="spellStart"/>
            <w:r w:rsidRPr="00EB7DB7">
              <w:rPr>
                <w:rFonts w:ascii="Times New Roman" w:eastAsia="Times New Roman" w:hAnsi="Times New Roman" w:cs="Times New Roman"/>
                <w:b/>
                <w:sz w:val="21"/>
              </w:rPr>
              <w:t>Dalibor</w:t>
            </w:r>
            <w:proofErr w:type="spellEnd"/>
            <w:r w:rsidRPr="00EB7DB7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EB7DB7">
              <w:rPr>
                <w:rFonts w:ascii="Times New Roman" w:eastAsia="Times New Roman" w:hAnsi="Times New Roman" w:cs="Times New Roman"/>
                <w:b/>
                <w:sz w:val="21"/>
              </w:rPr>
              <w:t>Kesić</w:t>
            </w:r>
            <w:proofErr w:type="spellEnd"/>
          </w:p>
        </w:tc>
      </w:tr>
    </w:tbl>
    <w:p w:rsidR="00A52EF6" w:rsidRDefault="007026AB">
      <w:pPr>
        <w:spacing w:after="0"/>
        <w:ind w:left="312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sectPr w:rsidR="00A52EF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6C6"/>
    <w:multiLevelType w:val="hybridMultilevel"/>
    <w:tmpl w:val="CCE054A0"/>
    <w:lvl w:ilvl="0" w:tplc="045A52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317D0"/>
    <w:multiLevelType w:val="hybridMultilevel"/>
    <w:tmpl w:val="52FAB812"/>
    <w:lvl w:ilvl="0" w:tplc="045A52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922AC"/>
    <w:multiLevelType w:val="hybridMultilevel"/>
    <w:tmpl w:val="9CEEBD12"/>
    <w:lvl w:ilvl="0" w:tplc="DC4E1D7C">
      <w:start w:val="1"/>
      <w:numFmt w:val="bullet"/>
      <w:lvlText w:val="-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F8DF72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FE3050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DC4B704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4BA5298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7A2E32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48E866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52DD98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D4D4D2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2E2825"/>
    <w:multiLevelType w:val="hybridMultilevel"/>
    <w:tmpl w:val="B5B8E036"/>
    <w:lvl w:ilvl="0" w:tplc="25F6C51C">
      <w:start w:val="1"/>
      <w:numFmt w:val="bullet"/>
      <w:lvlText w:val="-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A44AAE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E07202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8207AE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EA5252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A29102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B4984E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B25238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0EDB2A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F6"/>
    <w:rsid w:val="00334E33"/>
    <w:rsid w:val="007026AB"/>
    <w:rsid w:val="00A52EF6"/>
    <w:rsid w:val="00E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B970C-1DD4-41EA-8D73-2F4AD39C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B7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Terra</cp:lastModifiedBy>
  <cp:revision>4</cp:revision>
  <dcterms:created xsi:type="dcterms:W3CDTF">2024-02-15T08:21:00Z</dcterms:created>
  <dcterms:modified xsi:type="dcterms:W3CDTF">2024-02-19T07:44:00Z</dcterms:modified>
</cp:coreProperties>
</file>