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69"/>
        <w:gridCol w:w="1118"/>
        <w:gridCol w:w="89"/>
        <w:gridCol w:w="89"/>
        <w:gridCol w:w="391"/>
        <w:gridCol w:w="586"/>
        <w:gridCol w:w="6548"/>
      </w:tblGrid>
      <w:tr w:rsidR="004D15A6">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4612CB" w:rsidRDefault="004612CB"/>
        </w:tc>
        <w:tc>
          <w:tcPr>
            <w:tcW w:w="494" w:type="dxa"/>
            <w:vMerge w:val="restart"/>
            <w:tcBorders>
              <w:top w:val="single" w:sz="4" w:space="0" w:color="000000"/>
              <w:left w:val="single" w:sz="2" w:space="0" w:color="FFFFFF"/>
              <w:bottom w:val="single" w:sz="4" w:space="0" w:color="000000"/>
              <w:right w:val="nil"/>
            </w:tcBorders>
          </w:tcPr>
          <w:p w:rsidR="004612CB" w:rsidRDefault="003266B2">
            <w:r>
              <w:rPr>
                <w:rFonts w:ascii="Times New Roman" w:eastAsia="Times New Roman" w:hAnsi="Times New Roman" w:cs="Times New Roman"/>
                <w:color w:val="0000FF"/>
                <w:sz w:val="10"/>
              </w:rPr>
              <w:t xml:space="preserve">  </w:t>
            </w:r>
            <w:r w:rsidR="004D15A6">
              <w:rPr>
                <w:noProof/>
              </w:rPr>
              <w:drawing>
                <wp:inline distT="0" distB="0" distL="0" distR="0" wp14:anchorId="1C692D3D" wp14:editId="09F94CD0">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07136" cy="707136"/>
                          </a:xfrm>
                          <a:prstGeom prst="rect">
                            <a:avLst/>
                          </a:prstGeom>
                        </pic:spPr>
                      </pic:pic>
                    </a:graphicData>
                  </a:graphic>
                </wp:inline>
              </w:drawing>
            </w:r>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4612CB" w:rsidRDefault="004612CB"/>
        </w:tc>
        <w:tc>
          <w:tcPr>
            <w:tcW w:w="98" w:type="dxa"/>
            <w:tcBorders>
              <w:top w:val="single" w:sz="4" w:space="0" w:color="000000"/>
              <w:left w:val="double" w:sz="2" w:space="0" w:color="0000FF"/>
              <w:bottom w:val="single" w:sz="2" w:space="0" w:color="0000FF"/>
              <w:right w:val="single" w:sz="2" w:space="0" w:color="0000FF"/>
            </w:tcBorders>
          </w:tcPr>
          <w:p w:rsidR="004612CB" w:rsidRDefault="004612CB"/>
        </w:tc>
        <w:tc>
          <w:tcPr>
            <w:tcW w:w="422" w:type="dxa"/>
            <w:vMerge w:val="restart"/>
            <w:tcBorders>
              <w:top w:val="single" w:sz="4" w:space="0" w:color="000000"/>
              <w:left w:val="nil"/>
              <w:bottom w:val="single" w:sz="4" w:space="0" w:color="000000"/>
              <w:right w:val="single" w:sz="2" w:space="0" w:color="FFFFFF"/>
            </w:tcBorders>
          </w:tcPr>
          <w:p w:rsidR="004612CB" w:rsidRDefault="003266B2">
            <w:pPr>
              <w:ind w:left="120"/>
              <w:jc w:val="center"/>
            </w:pPr>
            <w:r>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4612CB" w:rsidRDefault="004D15A6">
            <w:pPr>
              <w:ind w:left="1080"/>
            </w:pPr>
            <w:r>
              <w:rPr>
                <w:rFonts w:ascii="Times New Roman" w:eastAsia="Times New Roman" w:hAnsi="Times New Roman" w:cs="Times New Roman"/>
                <w:b/>
                <w:sz w:val="23"/>
              </w:rPr>
              <w:t>UNIVERSITY OF BANJA LUKA</w:t>
            </w:r>
            <w:r w:rsidR="003266B2">
              <w:rPr>
                <w:rFonts w:ascii="Times New Roman" w:eastAsia="Times New Roman" w:hAnsi="Times New Roman" w:cs="Times New Roman"/>
                <w:b/>
                <w:sz w:val="23"/>
              </w:rPr>
              <w:t xml:space="preserve"> </w:t>
            </w:r>
          </w:p>
          <w:p w:rsidR="004612CB" w:rsidRDefault="003266B2">
            <w:pPr>
              <w:ind w:right="1187"/>
              <w:jc w:val="right"/>
            </w:pPr>
            <w:r>
              <w:rPr>
                <w:rFonts w:ascii="Times New Roman" w:eastAsia="Times New Roman" w:hAnsi="Times New Roman" w:cs="Times New Roman"/>
                <w:b/>
                <w:sz w:val="15"/>
              </w:rPr>
              <w:t xml:space="preserve"> </w:t>
            </w:r>
          </w:p>
          <w:p w:rsidR="004612CB" w:rsidRDefault="004D15A6">
            <w:pPr>
              <w:spacing w:after="53"/>
              <w:ind w:left="1354"/>
            </w:pPr>
            <w:r>
              <w:rPr>
                <w:rFonts w:ascii="Times New Roman" w:eastAsia="Times New Roman" w:hAnsi="Times New Roman" w:cs="Times New Roman"/>
                <w:b/>
                <w:sz w:val="23"/>
              </w:rPr>
              <w:t>FACULTY OF PHILOLOGY</w:t>
            </w:r>
            <w:r w:rsidR="003266B2">
              <w:rPr>
                <w:rFonts w:ascii="Times New Roman" w:eastAsia="Times New Roman" w:hAnsi="Times New Roman" w:cs="Times New Roman"/>
                <w:b/>
                <w:sz w:val="23"/>
              </w:rPr>
              <w:t xml:space="preserve"> </w:t>
            </w:r>
            <w:r w:rsidR="003266B2">
              <w:rPr>
                <w:rFonts w:ascii="Times New Roman" w:eastAsia="Times New Roman" w:hAnsi="Times New Roman" w:cs="Times New Roman"/>
                <w:b/>
                <w:sz w:val="15"/>
              </w:rPr>
              <w:t xml:space="preserve"> </w:t>
            </w:r>
          </w:p>
          <w:p w:rsidR="004612CB" w:rsidRDefault="003266B2">
            <w:r>
              <w:rPr>
                <w:rFonts w:ascii="Times New Roman" w:eastAsia="Times New Roman" w:hAnsi="Times New Roman" w:cs="Times New Roman"/>
                <w:sz w:val="25"/>
              </w:rPr>
              <w:t xml:space="preserve"> </w:t>
            </w:r>
          </w:p>
        </w:tc>
      </w:tr>
      <w:tr w:rsidR="004D15A6">
        <w:trPr>
          <w:trHeight w:val="1016"/>
        </w:trPr>
        <w:tc>
          <w:tcPr>
            <w:tcW w:w="0" w:type="auto"/>
            <w:vMerge/>
            <w:tcBorders>
              <w:top w:val="nil"/>
              <w:left w:val="single" w:sz="4" w:space="0" w:color="000000"/>
              <w:bottom w:val="single" w:sz="4" w:space="0" w:color="000000"/>
              <w:right w:val="single" w:sz="2" w:space="0" w:color="FFFFFF"/>
            </w:tcBorders>
          </w:tcPr>
          <w:p w:rsidR="004612CB" w:rsidRDefault="004612CB"/>
        </w:tc>
        <w:tc>
          <w:tcPr>
            <w:tcW w:w="0" w:type="auto"/>
            <w:vMerge/>
            <w:tcBorders>
              <w:top w:val="nil"/>
              <w:left w:val="single" w:sz="2" w:space="0" w:color="FFFFFF"/>
              <w:bottom w:val="single" w:sz="4" w:space="0" w:color="000000"/>
              <w:right w:val="nil"/>
            </w:tcBorders>
          </w:tcPr>
          <w:p w:rsidR="004612CB" w:rsidRDefault="004612CB"/>
        </w:tc>
        <w:tc>
          <w:tcPr>
            <w:tcW w:w="98" w:type="dxa"/>
            <w:tcBorders>
              <w:top w:val="single" w:sz="2" w:space="0" w:color="0000FF"/>
              <w:left w:val="nil"/>
              <w:bottom w:val="single" w:sz="4" w:space="0" w:color="000000"/>
              <w:right w:val="nil"/>
            </w:tcBorders>
          </w:tcPr>
          <w:p w:rsidR="004612CB" w:rsidRDefault="004612CB">
            <w:pPr>
              <w:ind w:left="-494" w:right="-521"/>
            </w:pPr>
          </w:p>
        </w:tc>
        <w:tc>
          <w:tcPr>
            <w:tcW w:w="98" w:type="dxa"/>
            <w:tcBorders>
              <w:top w:val="single" w:sz="2" w:space="0" w:color="0000FF"/>
              <w:left w:val="nil"/>
              <w:bottom w:val="single" w:sz="4" w:space="0" w:color="000000"/>
              <w:right w:val="nil"/>
            </w:tcBorders>
          </w:tcPr>
          <w:p w:rsidR="004612CB" w:rsidRDefault="004612CB"/>
        </w:tc>
        <w:tc>
          <w:tcPr>
            <w:tcW w:w="0" w:type="auto"/>
            <w:vMerge/>
            <w:tcBorders>
              <w:top w:val="nil"/>
              <w:left w:val="nil"/>
              <w:bottom w:val="single" w:sz="4" w:space="0" w:color="000000"/>
              <w:right w:val="single" w:sz="2" w:space="0" w:color="FFFFFF"/>
            </w:tcBorders>
          </w:tcPr>
          <w:p w:rsidR="004612CB" w:rsidRDefault="004612CB"/>
        </w:tc>
        <w:tc>
          <w:tcPr>
            <w:tcW w:w="0" w:type="auto"/>
            <w:gridSpan w:val="2"/>
            <w:vMerge/>
            <w:tcBorders>
              <w:top w:val="nil"/>
              <w:left w:val="single" w:sz="2" w:space="0" w:color="FFFFFF"/>
              <w:bottom w:val="single" w:sz="4" w:space="0" w:color="000000"/>
              <w:right w:val="single" w:sz="4" w:space="0" w:color="000000"/>
            </w:tcBorders>
          </w:tcPr>
          <w:p w:rsidR="004612CB" w:rsidRDefault="004612CB"/>
        </w:tc>
      </w:tr>
      <w:tr w:rsidR="004D15A6">
        <w:trPr>
          <w:trHeight w:val="277"/>
        </w:trPr>
        <w:tc>
          <w:tcPr>
            <w:tcW w:w="1226" w:type="dxa"/>
            <w:gridSpan w:val="3"/>
            <w:tcBorders>
              <w:top w:val="single" w:sz="4" w:space="0" w:color="000000"/>
              <w:left w:val="single" w:sz="4" w:space="0" w:color="000000"/>
              <w:bottom w:val="single" w:sz="4" w:space="0" w:color="000000"/>
              <w:right w:val="nil"/>
            </w:tcBorders>
          </w:tcPr>
          <w:p w:rsidR="004612CB" w:rsidRDefault="004612CB"/>
        </w:tc>
        <w:tc>
          <w:tcPr>
            <w:tcW w:w="8164" w:type="dxa"/>
            <w:gridSpan w:val="4"/>
            <w:tcBorders>
              <w:top w:val="single" w:sz="4" w:space="0" w:color="000000"/>
              <w:left w:val="nil"/>
              <w:bottom w:val="single" w:sz="4" w:space="0" w:color="000000"/>
              <w:right w:val="single" w:sz="4" w:space="0" w:color="000000"/>
            </w:tcBorders>
          </w:tcPr>
          <w:p w:rsidR="004612CB" w:rsidRDefault="004D15A6">
            <w:pPr>
              <w:ind w:left="1922"/>
            </w:pPr>
            <w:r>
              <w:rPr>
                <w:rFonts w:ascii="Times New Roman" w:eastAsia="Times New Roman" w:hAnsi="Times New Roman" w:cs="Times New Roman"/>
                <w:b/>
                <w:sz w:val="23"/>
              </w:rPr>
              <w:t>Doctoral academic studies</w:t>
            </w:r>
            <w:r w:rsidR="003266B2">
              <w:rPr>
                <w:rFonts w:ascii="Times New Roman" w:eastAsia="Times New Roman" w:hAnsi="Times New Roman" w:cs="Times New Roman"/>
                <w:b/>
                <w:sz w:val="23"/>
              </w:rPr>
              <w:t xml:space="preserve"> </w:t>
            </w:r>
          </w:p>
        </w:tc>
      </w:tr>
      <w:tr w:rsidR="004D15A6">
        <w:trPr>
          <w:trHeight w:val="276"/>
        </w:trPr>
        <w:tc>
          <w:tcPr>
            <w:tcW w:w="1226" w:type="dxa"/>
            <w:gridSpan w:val="3"/>
            <w:tcBorders>
              <w:top w:val="single" w:sz="4" w:space="0" w:color="000000"/>
              <w:left w:val="single" w:sz="4" w:space="0" w:color="000000"/>
              <w:bottom w:val="single" w:sz="4" w:space="0" w:color="000000"/>
              <w:right w:val="nil"/>
            </w:tcBorders>
          </w:tcPr>
          <w:p w:rsidR="004612CB" w:rsidRDefault="004D15A6" w:rsidP="004D15A6">
            <w:pPr>
              <w:ind w:left="106"/>
              <w:jc w:val="both"/>
            </w:pPr>
            <w:r>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4612CB" w:rsidRDefault="003266B2">
            <w:pPr>
              <w:ind w:left="-13"/>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4612CB" w:rsidRDefault="004D15A6" w:rsidP="004D15A6">
            <w:pPr>
              <w:ind w:left="100"/>
            </w:pPr>
            <w:r>
              <w:rPr>
                <w:rFonts w:ascii="Times New Roman" w:eastAsia="Times New Roman" w:hAnsi="Times New Roman" w:cs="Times New Roman"/>
                <w:b/>
                <w:sz w:val="23"/>
              </w:rPr>
              <w:t>SERBIAN LANGUAGE AND LITERATURE</w:t>
            </w:r>
          </w:p>
        </w:tc>
      </w:tr>
    </w:tbl>
    <w:p w:rsidR="004612CB" w:rsidRDefault="003266B2">
      <w:pPr>
        <w:spacing w:after="0"/>
        <w:ind w:left="-38"/>
        <w:jc w:val="both"/>
      </w:pPr>
      <w:r>
        <w:rPr>
          <w:rFonts w:ascii="Times New Roman" w:eastAsia="Times New Roman" w:hAnsi="Times New Roman" w:cs="Times New Roman"/>
          <w:sz w:val="25"/>
        </w:rPr>
        <w:t xml:space="preserve"> </w:t>
      </w:r>
    </w:p>
    <w:tbl>
      <w:tblPr>
        <w:tblStyle w:val="TableGrid"/>
        <w:tblW w:w="9386" w:type="dxa"/>
        <w:tblInd w:w="-140" w:type="dxa"/>
        <w:tblCellMar>
          <w:top w:w="48" w:type="dxa"/>
          <w:left w:w="102" w:type="dxa"/>
          <w:right w:w="90" w:type="dxa"/>
        </w:tblCellMar>
        <w:tblLook w:val="04A0" w:firstRow="1" w:lastRow="0" w:firstColumn="1" w:lastColumn="0" w:noHBand="0" w:noVBand="1"/>
      </w:tblPr>
      <w:tblGrid>
        <w:gridCol w:w="1796"/>
        <w:gridCol w:w="1800"/>
        <w:gridCol w:w="1589"/>
        <w:gridCol w:w="1574"/>
        <w:gridCol w:w="2627"/>
      </w:tblGrid>
      <w:tr w:rsidR="004612CB">
        <w:trPr>
          <w:trHeight w:val="502"/>
        </w:trPr>
        <w:tc>
          <w:tcPr>
            <w:tcW w:w="1796" w:type="dxa"/>
            <w:tcBorders>
              <w:top w:val="single" w:sz="4" w:space="0" w:color="000000"/>
              <w:left w:val="single" w:sz="4" w:space="0" w:color="000000"/>
              <w:bottom w:val="single" w:sz="4" w:space="0" w:color="000000"/>
              <w:right w:val="single" w:sz="4" w:space="0" w:color="000000"/>
            </w:tcBorders>
          </w:tcPr>
          <w:p w:rsidR="004612CB" w:rsidRDefault="004D15A6">
            <w:pPr>
              <w:jc w:val="both"/>
            </w:pPr>
            <w:r>
              <w:rPr>
                <w:rFonts w:ascii="Times New Roman" w:eastAsia="Times New Roman" w:hAnsi="Times New Roman" w:cs="Times New Roman"/>
                <w:b/>
                <w:sz w:val="21"/>
              </w:rPr>
              <w:t xml:space="preserve">SUBJECT </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4612CB" w:rsidRDefault="004D15A6">
            <w:pPr>
              <w:ind w:left="4"/>
            </w:pPr>
            <w:r>
              <w:rPr>
                <w:rFonts w:ascii="Times New Roman" w:eastAsia="Times New Roman" w:hAnsi="Times New Roman" w:cs="Times New Roman"/>
                <w:b/>
                <w:sz w:val="21"/>
              </w:rPr>
              <w:t>FORM</w:t>
            </w:r>
            <w:r w:rsidRPr="004D15A6">
              <w:rPr>
                <w:rFonts w:ascii="Times New Roman" w:eastAsia="Times New Roman" w:hAnsi="Times New Roman" w:cs="Times New Roman"/>
                <w:b/>
                <w:sz w:val="21"/>
              </w:rPr>
              <w:t xml:space="preserve"> AND SEMANTIC ASPECTS OF THE STUDY OF SACRAL LEXICON</w:t>
            </w:r>
          </w:p>
        </w:tc>
      </w:tr>
      <w:tr w:rsidR="004D15A6" w:rsidTr="00B11D8A">
        <w:trPr>
          <w:trHeight w:val="500"/>
        </w:trPr>
        <w:tc>
          <w:tcPr>
            <w:tcW w:w="1796" w:type="dxa"/>
            <w:tcBorders>
              <w:top w:val="single" w:sz="4" w:space="0" w:color="000000"/>
              <w:left w:val="single" w:sz="4" w:space="0" w:color="000000"/>
              <w:bottom w:val="single" w:sz="4" w:space="0" w:color="000000"/>
              <w:right w:val="single" w:sz="4" w:space="0" w:color="000000"/>
            </w:tcBorders>
          </w:tcPr>
          <w:p w:rsidR="004D15A6" w:rsidRDefault="004D15A6" w:rsidP="004D15A6">
            <w:pPr>
              <w:rPr>
                <w:rFonts w:ascii="Times New Roman" w:eastAsia="Times New Roman" w:hAnsi="Times New Roman" w:cs="Times New Roman"/>
                <w:b/>
                <w:sz w:val="21"/>
              </w:rPr>
            </w:pPr>
          </w:p>
          <w:p w:rsidR="004D15A6" w:rsidRDefault="004D15A6" w:rsidP="004D15A6">
            <w:r>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vAlign w:val="center"/>
          </w:tcPr>
          <w:p w:rsidR="004D15A6" w:rsidRDefault="004D15A6" w:rsidP="004D15A6">
            <w:pPr>
              <w:ind w:left="16"/>
              <w:jc w:val="both"/>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4D15A6" w:rsidRDefault="004D15A6" w:rsidP="004D15A6">
            <w:pPr>
              <w:ind w:right="49"/>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4D15A6" w:rsidRDefault="004D15A6" w:rsidP="004D15A6">
            <w:pPr>
              <w:ind w:left="102"/>
            </w:pPr>
            <w:r>
              <w:rPr>
                <w:rFonts w:ascii="Times New Roman" w:eastAsia="Times New Roman" w:hAnsi="Times New Roman" w:cs="Times New Roman"/>
                <w:b/>
                <w:sz w:val="21"/>
              </w:rPr>
              <w:t>Classes fund</w:t>
            </w:r>
            <w:r>
              <w:rPr>
                <w:rFonts w:ascii="Times New Roman" w:eastAsia="Times New Roman" w:hAnsi="Times New Roman" w:cs="Times New Roman"/>
                <w:sz w:val="25"/>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4D15A6" w:rsidRDefault="004D15A6" w:rsidP="004D15A6">
            <w:pPr>
              <w:ind w:right="54"/>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p>
        </w:tc>
      </w:tr>
      <w:tr w:rsidR="004612CB">
        <w:trPr>
          <w:trHeight w:val="257"/>
        </w:trPr>
        <w:tc>
          <w:tcPr>
            <w:tcW w:w="1796" w:type="dxa"/>
            <w:tcBorders>
              <w:top w:val="single" w:sz="4" w:space="0" w:color="000000"/>
              <w:left w:val="single" w:sz="4" w:space="0" w:color="000000"/>
              <w:bottom w:val="single" w:sz="2" w:space="0" w:color="000000"/>
              <w:right w:val="single" w:sz="4" w:space="0" w:color="000000"/>
            </w:tcBorders>
          </w:tcPr>
          <w:p w:rsidR="004612CB" w:rsidRDefault="003266B2">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2" w:space="0" w:color="000000"/>
              <w:right w:val="single" w:sz="4" w:space="0" w:color="000000"/>
            </w:tcBorders>
          </w:tcPr>
          <w:p w:rsidR="004612CB" w:rsidRDefault="004D15A6">
            <w:pPr>
              <w:ind w:right="18"/>
              <w:jc w:val="center"/>
            </w:pPr>
            <w:r>
              <w:rPr>
                <w:rFonts w:ascii="Times New Roman" w:eastAsia="Times New Roman" w:hAnsi="Times New Roman" w:cs="Times New Roman"/>
                <w:sz w:val="21"/>
              </w:rPr>
              <w:t>Elective</w:t>
            </w:r>
            <w:r w:rsidR="003266B2">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2" w:space="0" w:color="000000"/>
              <w:right w:val="single" w:sz="4" w:space="0" w:color="000000"/>
            </w:tcBorders>
          </w:tcPr>
          <w:p w:rsidR="004612CB" w:rsidRDefault="003266B2">
            <w:pPr>
              <w:ind w:left="37"/>
              <w:jc w:val="center"/>
            </w:pPr>
            <w:r>
              <w:rPr>
                <w:rFonts w:ascii="Times New Roman" w:eastAsia="Times New Roman" w:hAnsi="Times New Roman" w:cs="Times New Roman"/>
                <w:sz w:val="21"/>
              </w:rPr>
              <w:t xml:space="preserve"> </w:t>
            </w:r>
          </w:p>
        </w:tc>
        <w:tc>
          <w:tcPr>
            <w:tcW w:w="1574" w:type="dxa"/>
            <w:tcBorders>
              <w:top w:val="single" w:sz="4" w:space="0" w:color="000000"/>
              <w:left w:val="single" w:sz="4" w:space="0" w:color="000000"/>
              <w:bottom w:val="single" w:sz="2" w:space="0" w:color="000000"/>
              <w:right w:val="single" w:sz="4" w:space="0" w:color="000000"/>
            </w:tcBorders>
          </w:tcPr>
          <w:p w:rsidR="004612CB" w:rsidRDefault="003266B2">
            <w:pPr>
              <w:ind w:left="42"/>
              <w:jc w:val="center"/>
            </w:pPr>
            <w:r>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2" w:space="0" w:color="000000"/>
              <w:right w:val="single" w:sz="4" w:space="0" w:color="000000"/>
            </w:tcBorders>
          </w:tcPr>
          <w:p w:rsidR="004612CB" w:rsidRDefault="003266B2">
            <w:pPr>
              <w:ind w:left="36"/>
              <w:jc w:val="center"/>
            </w:pPr>
            <w:r>
              <w:rPr>
                <w:rFonts w:ascii="Times New Roman" w:eastAsia="Times New Roman" w:hAnsi="Times New Roman" w:cs="Times New Roman"/>
                <w:sz w:val="21"/>
              </w:rPr>
              <w:t xml:space="preserve"> </w:t>
            </w:r>
          </w:p>
        </w:tc>
      </w:tr>
      <w:tr w:rsidR="004612CB">
        <w:trPr>
          <w:trHeight w:val="255"/>
        </w:trPr>
        <w:tc>
          <w:tcPr>
            <w:tcW w:w="1796" w:type="dxa"/>
            <w:tcBorders>
              <w:top w:val="single" w:sz="2" w:space="0" w:color="000000"/>
              <w:left w:val="single" w:sz="4" w:space="0" w:color="000000"/>
              <w:bottom w:val="single" w:sz="4" w:space="0" w:color="000000"/>
              <w:right w:val="single" w:sz="4" w:space="0" w:color="000000"/>
            </w:tcBorders>
            <w:shd w:val="clear" w:color="auto" w:fill="B3B3B3"/>
          </w:tcPr>
          <w:p w:rsidR="004612CB" w:rsidRDefault="004D15A6">
            <w:r>
              <w:rPr>
                <w:rFonts w:ascii="Times New Roman" w:eastAsia="Times New Roman" w:hAnsi="Times New Roman" w:cs="Times New Roman"/>
                <w:b/>
                <w:sz w:val="21"/>
              </w:rPr>
              <w:t>Professors:</w:t>
            </w:r>
          </w:p>
        </w:tc>
        <w:tc>
          <w:tcPr>
            <w:tcW w:w="7590" w:type="dxa"/>
            <w:gridSpan w:val="4"/>
            <w:tcBorders>
              <w:top w:val="single" w:sz="2" w:space="0" w:color="000000"/>
              <w:left w:val="single" w:sz="4" w:space="0" w:color="000000"/>
              <w:bottom w:val="single" w:sz="4" w:space="0" w:color="000000"/>
              <w:right w:val="single" w:sz="4" w:space="0" w:color="000000"/>
            </w:tcBorders>
          </w:tcPr>
          <w:p w:rsidR="004612CB" w:rsidRDefault="004D15A6">
            <w:pPr>
              <w:ind w:left="4"/>
            </w:pPr>
            <w:r w:rsidRPr="004D15A6">
              <w:rPr>
                <w:rFonts w:ascii="Times New Roman" w:eastAsia="Times New Roman" w:hAnsi="Times New Roman" w:cs="Times New Roman"/>
                <w:b/>
                <w:sz w:val="21"/>
              </w:rPr>
              <w:t xml:space="preserve">Prof. Dr. </w:t>
            </w:r>
            <w:proofErr w:type="spellStart"/>
            <w:r w:rsidRPr="004D15A6">
              <w:rPr>
                <w:rFonts w:ascii="Times New Roman" w:eastAsia="Times New Roman" w:hAnsi="Times New Roman" w:cs="Times New Roman"/>
                <w:b/>
                <w:sz w:val="21"/>
              </w:rPr>
              <w:t>Zorica</w:t>
            </w:r>
            <w:proofErr w:type="spellEnd"/>
            <w:r w:rsidRPr="004D15A6">
              <w:rPr>
                <w:rFonts w:ascii="Times New Roman" w:eastAsia="Times New Roman" w:hAnsi="Times New Roman" w:cs="Times New Roman"/>
                <w:b/>
                <w:sz w:val="21"/>
              </w:rPr>
              <w:t xml:space="preserve"> </w:t>
            </w:r>
            <w:proofErr w:type="spellStart"/>
            <w:r w:rsidRPr="004D15A6">
              <w:rPr>
                <w:rFonts w:ascii="Times New Roman" w:eastAsia="Times New Roman" w:hAnsi="Times New Roman" w:cs="Times New Roman"/>
                <w:b/>
                <w:sz w:val="21"/>
              </w:rPr>
              <w:t>Nikitović</w:t>
            </w:r>
            <w:proofErr w:type="spellEnd"/>
          </w:p>
        </w:tc>
      </w:tr>
    </w:tbl>
    <w:p w:rsidR="004612CB" w:rsidRDefault="003266B2">
      <w:pPr>
        <w:spacing w:after="0"/>
        <w:ind w:left="-38"/>
        <w:jc w:val="both"/>
      </w:pPr>
      <w:r>
        <w:rPr>
          <w:rFonts w:ascii="Times New Roman" w:eastAsia="Times New Roman" w:hAnsi="Times New Roman" w:cs="Times New Roman"/>
          <w:sz w:val="21"/>
        </w:rPr>
        <w:t xml:space="preserve"> </w:t>
      </w:r>
    </w:p>
    <w:tbl>
      <w:tblPr>
        <w:tblStyle w:val="TableGrid"/>
        <w:tblW w:w="9386" w:type="dxa"/>
        <w:tblInd w:w="-140" w:type="dxa"/>
        <w:tblCellMar>
          <w:top w:w="49" w:type="dxa"/>
          <w:left w:w="102" w:type="dxa"/>
          <w:right w:w="47" w:type="dxa"/>
        </w:tblCellMar>
        <w:tblLook w:val="04A0" w:firstRow="1" w:lastRow="0" w:firstColumn="1" w:lastColumn="0" w:noHBand="0" w:noVBand="1"/>
      </w:tblPr>
      <w:tblGrid>
        <w:gridCol w:w="9386"/>
      </w:tblGrid>
      <w:tr w:rsidR="004612CB">
        <w:trPr>
          <w:trHeight w:val="24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4612CB" w:rsidRDefault="004D15A6">
            <w:r>
              <w:rPr>
                <w:rFonts w:ascii="Times New Roman" w:eastAsia="Times New Roman" w:hAnsi="Times New Roman" w:cs="Times New Roman"/>
                <w:b/>
                <w:sz w:val="21"/>
              </w:rPr>
              <w:t>Conditioned by other subjects</w:t>
            </w:r>
          </w:p>
        </w:tc>
      </w:tr>
      <w:tr w:rsidR="004612CB">
        <w:trPr>
          <w:trHeight w:val="820"/>
        </w:trPr>
        <w:tc>
          <w:tcPr>
            <w:tcW w:w="9386" w:type="dxa"/>
            <w:tcBorders>
              <w:top w:val="single" w:sz="4" w:space="0" w:color="000000"/>
              <w:left w:val="single" w:sz="4" w:space="0" w:color="000000"/>
              <w:bottom w:val="single" w:sz="2" w:space="0" w:color="000000"/>
              <w:right w:val="single" w:sz="4" w:space="0" w:color="000000"/>
            </w:tcBorders>
          </w:tcPr>
          <w:p w:rsidR="004612CB" w:rsidRDefault="004D15A6" w:rsidP="004D15A6">
            <w:pPr>
              <w:ind w:right="152"/>
              <w:jc w:val="both"/>
            </w:pPr>
            <w:r w:rsidRPr="004D15A6">
              <w:rPr>
                <w:rFonts w:ascii="Times New Roman" w:eastAsia="Times New Roman" w:hAnsi="Times New Roman" w:cs="Times New Roman"/>
                <w:sz w:val="23"/>
              </w:rPr>
              <w:t>Listening to the course is conditioned by previous Slavic education (Serbian, Russian studies), since the linguistic analysis is based on the material of these two Slavic languages.</w:t>
            </w:r>
          </w:p>
        </w:tc>
      </w:tr>
      <w:tr w:rsidR="004612CB">
        <w:trPr>
          <w:trHeight w:val="255"/>
        </w:trPr>
        <w:tc>
          <w:tcPr>
            <w:tcW w:w="9386" w:type="dxa"/>
            <w:tcBorders>
              <w:top w:val="single" w:sz="2" w:space="0" w:color="000000"/>
              <w:left w:val="single" w:sz="4" w:space="0" w:color="000000"/>
              <w:bottom w:val="single" w:sz="4" w:space="0" w:color="000000"/>
              <w:right w:val="single" w:sz="4" w:space="0" w:color="000000"/>
            </w:tcBorders>
            <w:shd w:val="clear" w:color="auto" w:fill="B3B3B3"/>
          </w:tcPr>
          <w:p w:rsidR="004612CB" w:rsidRDefault="004D15A6">
            <w:r w:rsidRPr="00094DF8">
              <w:rPr>
                <w:rFonts w:ascii="Times New Roman" w:eastAsia="Times New Roman" w:hAnsi="Times New Roman" w:cs="Times New Roman"/>
                <w:b/>
                <w:sz w:val="21"/>
              </w:rPr>
              <w:t>Objectives of studying the subject:</w:t>
            </w:r>
          </w:p>
        </w:tc>
      </w:tr>
      <w:tr w:rsidR="004612CB">
        <w:trPr>
          <w:trHeight w:val="2652"/>
        </w:trPr>
        <w:tc>
          <w:tcPr>
            <w:tcW w:w="9386" w:type="dxa"/>
            <w:tcBorders>
              <w:top w:val="single" w:sz="4" w:space="0" w:color="000000"/>
              <w:left w:val="single" w:sz="4" w:space="0" w:color="000000"/>
              <w:bottom w:val="single" w:sz="4" w:space="0" w:color="000000"/>
              <w:right w:val="single" w:sz="4" w:space="0" w:color="000000"/>
            </w:tcBorders>
          </w:tcPr>
          <w:p w:rsidR="004D15A6" w:rsidRDefault="004D15A6" w:rsidP="004D15A6">
            <w:pPr>
              <w:rPr>
                <w:rFonts w:ascii="Times New Roman" w:eastAsia="Times New Roman" w:hAnsi="Times New Roman" w:cs="Times New Roman"/>
                <w:sz w:val="21"/>
              </w:rPr>
            </w:pPr>
          </w:p>
          <w:p w:rsidR="004D15A6" w:rsidRPr="004D15A6" w:rsidRDefault="004D15A6" w:rsidP="00620E15">
            <w:pPr>
              <w:pStyle w:val="ListParagraph"/>
              <w:numPr>
                <w:ilvl w:val="0"/>
                <w:numId w:val="5"/>
              </w:numPr>
              <w:jc w:val="both"/>
              <w:rPr>
                <w:rFonts w:ascii="Times New Roman" w:eastAsia="Times New Roman" w:hAnsi="Times New Roman" w:cs="Times New Roman"/>
                <w:sz w:val="21"/>
              </w:rPr>
            </w:pPr>
            <w:r>
              <w:rPr>
                <w:rFonts w:ascii="Times New Roman" w:eastAsia="Times New Roman" w:hAnsi="Times New Roman" w:cs="Times New Roman"/>
                <w:sz w:val="21"/>
              </w:rPr>
              <w:t>Learning</w:t>
            </w:r>
            <w:r w:rsidRPr="004D15A6">
              <w:rPr>
                <w:rFonts w:ascii="Times New Roman" w:eastAsia="Times New Roman" w:hAnsi="Times New Roman" w:cs="Times New Roman"/>
                <w:sz w:val="21"/>
              </w:rPr>
              <w:t xml:space="preserve"> the conceptual-categorical apparatus of the theory of semantic fields, the methodology of theological a</w:t>
            </w:r>
            <w:r>
              <w:rPr>
                <w:rFonts w:ascii="Times New Roman" w:eastAsia="Times New Roman" w:hAnsi="Times New Roman" w:cs="Times New Roman"/>
                <w:sz w:val="21"/>
              </w:rPr>
              <w:t>nalysis at the lexical, formative</w:t>
            </w:r>
            <w:r w:rsidRPr="004D15A6">
              <w:rPr>
                <w:rFonts w:ascii="Times New Roman" w:eastAsia="Times New Roman" w:hAnsi="Times New Roman" w:cs="Times New Roman"/>
                <w:sz w:val="21"/>
              </w:rPr>
              <w:t xml:space="preserve"> and semantic level, acquiring theoretical knowledge about the structure and functioning of semantic and creative units on the synchronic level, as well as the ability </w:t>
            </w:r>
            <w:proofErr w:type="gramStart"/>
            <w:r w:rsidRPr="004D15A6">
              <w:rPr>
                <w:rFonts w:ascii="Times New Roman" w:eastAsia="Times New Roman" w:hAnsi="Times New Roman" w:cs="Times New Roman"/>
                <w:sz w:val="21"/>
              </w:rPr>
              <w:t>to actively and productively use</w:t>
            </w:r>
            <w:proofErr w:type="gramEnd"/>
            <w:r w:rsidRPr="004D15A6">
              <w:rPr>
                <w:rFonts w:ascii="Times New Roman" w:eastAsia="Times New Roman" w:hAnsi="Times New Roman" w:cs="Times New Roman"/>
                <w:sz w:val="21"/>
              </w:rPr>
              <w:t xml:space="preserve"> scientific literature from derivation and semantics.</w:t>
            </w:r>
          </w:p>
          <w:p w:rsidR="004612CB" w:rsidRDefault="004D15A6" w:rsidP="00620E15">
            <w:pPr>
              <w:pStyle w:val="ListParagraph"/>
              <w:numPr>
                <w:ilvl w:val="0"/>
                <w:numId w:val="5"/>
              </w:numPr>
              <w:jc w:val="both"/>
            </w:pPr>
            <w:r w:rsidRPr="004D15A6">
              <w:rPr>
                <w:rFonts w:ascii="Times New Roman" w:eastAsia="Times New Roman" w:hAnsi="Times New Roman" w:cs="Times New Roman"/>
                <w:sz w:val="21"/>
              </w:rPr>
              <w:t>The same thematic units in the applicative aspect - with insistence on the skills of qualified analysis of relevant sources, synchronic and diachronic observation and generalization of marked language units and creative-semantic elements.</w:t>
            </w:r>
          </w:p>
        </w:tc>
      </w:tr>
      <w:tr w:rsidR="004612CB">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4612CB" w:rsidRDefault="004D15A6">
            <w:r>
              <w:rPr>
                <w:rFonts w:ascii="Times New Roman" w:eastAsia="Times New Roman" w:hAnsi="Times New Roman" w:cs="Times New Roman"/>
                <w:b/>
                <w:sz w:val="21"/>
              </w:rPr>
              <w:t>Learning outcomes (acquired knowledge):</w:t>
            </w:r>
          </w:p>
        </w:tc>
      </w:tr>
      <w:tr w:rsidR="004612CB">
        <w:trPr>
          <w:trHeight w:val="1850"/>
        </w:trPr>
        <w:tc>
          <w:tcPr>
            <w:tcW w:w="9386" w:type="dxa"/>
            <w:tcBorders>
              <w:top w:val="single" w:sz="4" w:space="0" w:color="000000"/>
              <w:left w:val="single" w:sz="4" w:space="0" w:color="000000"/>
              <w:bottom w:val="single" w:sz="4" w:space="0" w:color="000000"/>
              <w:right w:val="single" w:sz="4" w:space="0" w:color="000000"/>
            </w:tcBorders>
          </w:tcPr>
          <w:p w:rsidR="004D15A6" w:rsidRDefault="004D15A6">
            <w:pPr>
              <w:rPr>
                <w:rFonts w:ascii="Times New Roman" w:eastAsia="Times New Roman" w:hAnsi="Times New Roman" w:cs="Times New Roman"/>
                <w:sz w:val="21"/>
              </w:rPr>
            </w:pPr>
          </w:p>
          <w:p w:rsidR="004612CB" w:rsidRDefault="004D15A6" w:rsidP="004D15A6">
            <w:pPr>
              <w:jc w:val="both"/>
            </w:pPr>
            <w:r w:rsidRPr="004D15A6">
              <w:rPr>
                <w:rFonts w:ascii="Times New Roman" w:eastAsia="Times New Roman" w:hAnsi="Times New Roman" w:cs="Times New Roman"/>
                <w:sz w:val="21"/>
              </w:rPr>
              <w:t>Possession of the highest theoretical-methodological academic competences in the field of lexical research through the theory of semantic fields, morpheme formation and accompanying application abilities of direct observation and analysis of semantic and derivational categories on concrete material of Slavic languages with the help of objective research methods and techniques.</w:t>
            </w:r>
          </w:p>
        </w:tc>
      </w:tr>
      <w:tr w:rsidR="004612CB">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4612CB" w:rsidRDefault="004D15A6">
            <w:r>
              <w:rPr>
                <w:rFonts w:ascii="Times New Roman" w:eastAsia="Times New Roman" w:hAnsi="Times New Roman" w:cs="Times New Roman"/>
                <w:b/>
                <w:sz w:val="21"/>
              </w:rPr>
              <w:t>Subject content:</w:t>
            </w:r>
          </w:p>
        </w:tc>
      </w:tr>
      <w:tr w:rsidR="004612CB">
        <w:trPr>
          <w:trHeight w:val="2516"/>
        </w:trPr>
        <w:tc>
          <w:tcPr>
            <w:tcW w:w="9386" w:type="dxa"/>
            <w:tcBorders>
              <w:top w:val="single" w:sz="4" w:space="0" w:color="000000"/>
              <w:left w:val="single" w:sz="4" w:space="0" w:color="000000"/>
              <w:bottom w:val="single" w:sz="4" w:space="0" w:color="000000"/>
              <w:right w:val="single" w:sz="4" w:space="0" w:color="000000"/>
            </w:tcBorders>
          </w:tcPr>
          <w:p w:rsidR="004D15A6" w:rsidRDefault="004D15A6" w:rsidP="004D15A6">
            <w:pPr>
              <w:spacing w:after="2"/>
              <w:rPr>
                <w:rFonts w:ascii="Times New Roman" w:eastAsia="Times New Roman" w:hAnsi="Times New Roman" w:cs="Times New Roman"/>
                <w:sz w:val="21"/>
              </w:rPr>
            </w:pPr>
          </w:p>
          <w:p w:rsidR="004D15A6" w:rsidRPr="004D15A6" w:rsidRDefault="004D15A6" w:rsidP="004D15A6">
            <w:pPr>
              <w:pStyle w:val="ListParagraph"/>
              <w:numPr>
                <w:ilvl w:val="0"/>
                <w:numId w:val="6"/>
              </w:numPr>
              <w:spacing w:after="2"/>
              <w:rPr>
                <w:rFonts w:ascii="Times New Roman" w:eastAsia="Times New Roman" w:hAnsi="Times New Roman" w:cs="Times New Roman"/>
                <w:sz w:val="21"/>
              </w:rPr>
            </w:pPr>
            <w:r w:rsidRPr="004D15A6">
              <w:rPr>
                <w:rFonts w:ascii="Times New Roman" w:eastAsia="Times New Roman" w:hAnsi="Times New Roman" w:cs="Times New Roman"/>
                <w:sz w:val="21"/>
              </w:rPr>
              <w:t>Sacred lexicon. Semantic category of sacred. Theological researches of the lexicon.</w:t>
            </w:r>
          </w:p>
          <w:p w:rsidR="004D15A6" w:rsidRPr="004D15A6" w:rsidRDefault="004D15A6" w:rsidP="004D15A6">
            <w:pPr>
              <w:pStyle w:val="ListParagraph"/>
              <w:numPr>
                <w:ilvl w:val="0"/>
                <w:numId w:val="6"/>
              </w:numPr>
              <w:spacing w:after="2"/>
              <w:rPr>
                <w:rFonts w:ascii="Times New Roman" w:eastAsia="Times New Roman" w:hAnsi="Times New Roman" w:cs="Times New Roman"/>
                <w:sz w:val="21"/>
              </w:rPr>
            </w:pPr>
            <w:r w:rsidRPr="004D15A6">
              <w:rPr>
                <w:rFonts w:ascii="Times New Roman" w:eastAsia="Times New Roman" w:hAnsi="Times New Roman" w:cs="Times New Roman"/>
                <w:sz w:val="21"/>
              </w:rPr>
              <w:t>Theory of the semantic field and lexical-semantic groups.</w:t>
            </w:r>
          </w:p>
          <w:p w:rsidR="004D15A6" w:rsidRPr="004D15A6" w:rsidRDefault="004D15A6" w:rsidP="004D15A6">
            <w:pPr>
              <w:pStyle w:val="ListParagraph"/>
              <w:numPr>
                <w:ilvl w:val="0"/>
                <w:numId w:val="6"/>
              </w:numPr>
              <w:spacing w:after="2"/>
              <w:rPr>
                <w:rFonts w:ascii="Times New Roman" w:eastAsia="Times New Roman" w:hAnsi="Times New Roman" w:cs="Times New Roman"/>
                <w:sz w:val="21"/>
              </w:rPr>
            </w:pPr>
            <w:r w:rsidRPr="004D15A6">
              <w:rPr>
                <w:rFonts w:ascii="Times New Roman" w:eastAsia="Times New Roman" w:hAnsi="Times New Roman" w:cs="Times New Roman"/>
                <w:sz w:val="21"/>
              </w:rPr>
              <w:t>Language and theology. Theocentric view of the world and philosophical-theological lexical glossary.</w:t>
            </w:r>
          </w:p>
          <w:p w:rsidR="004D15A6" w:rsidRPr="004D15A6" w:rsidRDefault="004D15A6" w:rsidP="004D15A6">
            <w:pPr>
              <w:pStyle w:val="ListParagraph"/>
              <w:numPr>
                <w:ilvl w:val="0"/>
                <w:numId w:val="6"/>
              </w:numPr>
              <w:spacing w:after="2"/>
              <w:rPr>
                <w:rFonts w:ascii="Times New Roman" w:eastAsia="Times New Roman" w:hAnsi="Times New Roman" w:cs="Times New Roman"/>
                <w:sz w:val="21"/>
              </w:rPr>
            </w:pPr>
            <w:r w:rsidRPr="004D15A6">
              <w:rPr>
                <w:rFonts w:ascii="Times New Roman" w:eastAsia="Times New Roman" w:hAnsi="Times New Roman" w:cs="Times New Roman"/>
                <w:sz w:val="21"/>
              </w:rPr>
              <w:t>The semantic field of man and lexical-semantic groups: age, emotion, activity, etc.</w:t>
            </w:r>
          </w:p>
          <w:p w:rsidR="004D15A6" w:rsidRPr="004D15A6" w:rsidRDefault="004D15A6" w:rsidP="004D15A6">
            <w:pPr>
              <w:pStyle w:val="ListParagraph"/>
              <w:numPr>
                <w:ilvl w:val="0"/>
                <w:numId w:val="6"/>
              </w:numPr>
              <w:spacing w:after="2"/>
              <w:rPr>
                <w:rFonts w:ascii="Times New Roman" w:eastAsia="Times New Roman" w:hAnsi="Times New Roman" w:cs="Times New Roman"/>
                <w:sz w:val="21"/>
              </w:rPr>
            </w:pPr>
            <w:r w:rsidRPr="004D15A6">
              <w:rPr>
                <w:rFonts w:ascii="Times New Roman" w:eastAsia="Times New Roman" w:hAnsi="Times New Roman" w:cs="Times New Roman"/>
                <w:sz w:val="21"/>
              </w:rPr>
              <w:t>Morpheme formation: derivation (prefixation and suffixation)</w:t>
            </w:r>
          </w:p>
          <w:p w:rsidR="004612CB" w:rsidRDefault="004D15A6" w:rsidP="004D15A6">
            <w:pPr>
              <w:pStyle w:val="ListParagraph"/>
              <w:numPr>
                <w:ilvl w:val="0"/>
                <w:numId w:val="6"/>
              </w:numPr>
            </w:pPr>
            <w:r w:rsidRPr="004D15A6">
              <w:rPr>
                <w:rFonts w:ascii="Times New Roman" w:eastAsia="Times New Roman" w:hAnsi="Times New Roman" w:cs="Times New Roman"/>
                <w:sz w:val="21"/>
              </w:rPr>
              <w:t>Compilation as a productive creative model of sacred style</w:t>
            </w:r>
          </w:p>
        </w:tc>
      </w:tr>
    </w:tbl>
    <w:p w:rsidR="004612CB" w:rsidRDefault="004612CB">
      <w:pPr>
        <w:spacing w:after="0"/>
        <w:ind w:left="-1440" w:right="10466"/>
      </w:pPr>
    </w:p>
    <w:tbl>
      <w:tblPr>
        <w:tblStyle w:val="TableGrid"/>
        <w:tblW w:w="9386" w:type="dxa"/>
        <w:tblInd w:w="-140" w:type="dxa"/>
        <w:tblCellMar>
          <w:top w:w="39" w:type="dxa"/>
          <w:left w:w="101" w:type="dxa"/>
        </w:tblCellMar>
        <w:tblLook w:val="04A0" w:firstRow="1" w:lastRow="0" w:firstColumn="1" w:lastColumn="0" w:noHBand="0" w:noVBand="1"/>
      </w:tblPr>
      <w:tblGrid>
        <w:gridCol w:w="2511"/>
        <w:gridCol w:w="1094"/>
        <w:gridCol w:w="1930"/>
        <w:gridCol w:w="1051"/>
        <w:gridCol w:w="1925"/>
        <w:gridCol w:w="875"/>
      </w:tblGrid>
      <w:tr w:rsidR="004612CB">
        <w:trPr>
          <w:trHeight w:val="1758"/>
        </w:trPr>
        <w:tc>
          <w:tcPr>
            <w:tcW w:w="9386" w:type="dxa"/>
            <w:gridSpan w:val="6"/>
            <w:tcBorders>
              <w:top w:val="single" w:sz="4" w:space="0" w:color="000000"/>
              <w:left w:val="single" w:sz="4" w:space="0" w:color="000000"/>
              <w:bottom w:val="single" w:sz="4" w:space="0" w:color="000000"/>
              <w:right w:val="single" w:sz="4" w:space="0" w:color="000000"/>
            </w:tcBorders>
          </w:tcPr>
          <w:p w:rsidR="003538B9" w:rsidRPr="003538B9" w:rsidRDefault="003538B9" w:rsidP="003538B9">
            <w:pPr>
              <w:numPr>
                <w:ilvl w:val="0"/>
                <w:numId w:val="3"/>
              </w:numPr>
              <w:spacing w:after="8"/>
              <w:rPr>
                <w:rFonts w:ascii="Times New Roman" w:eastAsia="Times New Roman" w:hAnsi="Times New Roman" w:cs="Times New Roman"/>
                <w:sz w:val="21"/>
              </w:rPr>
            </w:pPr>
            <w:r w:rsidRPr="003538B9">
              <w:rPr>
                <w:rFonts w:ascii="Times New Roman" w:eastAsia="Times New Roman" w:hAnsi="Times New Roman" w:cs="Times New Roman"/>
                <w:sz w:val="21"/>
              </w:rPr>
              <w:lastRenderedPageBreak/>
              <w:t>Derivation through the prism of morphemic complexity of the formation base</w:t>
            </w:r>
          </w:p>
          <w:p w:rsidR="003538B9" w:rsidRPr="003538B9" w:rsidRDefault="003538B9" w:rsidP="003538B9">
            <w:pPr>
              <w:numPr>
                <w:ilvl w:val="0"/>
                <w:numId w:val="3"/>
              </w:numPr>
              <w:spacing w:after="8"/>
              <w:rPr>
                <w:rFonts w:ascii="Times New Roman" w:eastAsia="Times New Roman" w:hAnsi="Times New Roman" w:cs="Times New Roman"/>
                <w:sz w:val="21"/>
              </w:rPr>
            </w:pPr>
            <w:r w:rsidRPr="003538B9">
              <w:rPr>
                <w:rFonts w:ascii="Times New Roman" w:eastAsia="Times New Roman" w:hAnsi="Times New Roman" w:cs="Times New Roman"/>
                <w:sz w:val="21"/>
              </w:rPr>
              <w:t>Book lexical categories: compounds and participles (synchronic-diachronic aspect)</w:t>
            </w:r>
          </w:p>
          <w:p w:rsidR="003538B9" w:rsidRPr="003538B9" w:rsidRDefault="003538B9" w:rsidP="003538B9">
            <w:pPr>
              <w:numPr>
                <w:ilvl w:val="0"/>
                <w:numId w:val="3"/>
              </w:numPr>
              <w:spacing w:after="8"/>
              <w:rPr>
                <w:rFonts w:ascii="Times New Roman" w:eastAsia="Times New Roman" w:hAnsi="Times New Roman" w:cs="Times New Roman"/>
                <w:sz w:val="21"/>
              </w:rPr>
            </w:pPr>
            <w:r w:rsidRPr="003538B9">
              <w:rPr>
                <w:rFonts w:ascii="Times New Roman" w:eastAsia="Times New Roman" w:hAnsi="Times New Roman" w:cs="Times New Roman"/>
                <w:sz w:val="21"/>
              </w:rPr>
              <w:t>Semantics of dominating formation nests</w:t>
            </w:r>
          </w:p>
          <w:p w:rsidR="003538B9" w:rsidRPr="003538B9" w:rsidRDefault="003538B9" w:rsidP="003538B9">
            <w:pPr>
              <w:numPr>
                <w:ilvl w:val="0"/>
                <w:numId w:val="3"/>
              </w:numPr>
              <w:spacing w:after="8"/>
              <w:rPr>
                <w:rFonts w:ascii="Times New Roman" w:eastAsia="Times New Roman" w:hAnsi="Times New Roman" w:cs="Times New Roman"/>
                <w:sz w:val="21"/>
              </w:rPr>
            </w:pPr>
            <w:r w:rsidRPr="003538B9">
              <w:rPr>
                <w:rFonts w:ascii="Times New Roman" w:eastAsia="Times New Roman" w:hAnsi="Times New Roman" w:cs="Times New Roman"/>
                <w:sz w:val="21"/>
              </w:rPr>
              <w:t>Lexical and creative disunity in the sphere of sacred lexicon</w:t>
            </w:r>
          </w:p>
          <w:p w:rsidR="003538B9" w:rsidRPr="003538B9" w:rsidRDefault="003538B9" w:rsidP="003538B9">
            <w:pPr>
              <w:numPr>
                <w:ilvl w:val="0"/>
                <w:numId w:val="3"/>
              </w:numPr>
              <w:spacing w:after="8"/>
              <w:rPr>
                <w:rFonts w:ascii="Times New Roman" w:eastAsia="Times New Roman" w:hAnsi="Times New Roman" w:cs="Times New Roman"/>
                <w:sz w:val="21"/>
              </w:rPr>
            </w:pPr>
            <w:r w:rsidRPr="003538B9">
              <w:rPr>
                <w:rFonts w:ascii="Times New Roman" w:eastAsia="Times New Roman" w:hAnsi="Times New Roman" w:cs="Times New Roman"/>
                <w:sz w:val="21"/>
              </w:rPr>
              <w:t>Lexical and creative synonymy</w:t>
            </w:r>
          </w:p>
          <w:p w:rsidR="004612CB" w:rsidRDefault="003538B9" w:rsidP="003538B9">
            <w:pPr>
              <w:numPr>
                <w:ilvl w:val="0"/>
                <w:numId w:val="3"/>
              </w:numPr>
            </w:pPr>
            <w:r w:rsidRPr="003538B9">
              <w:rPr>
                <w:rFonts w:ascii="Times New Roman" w:eastAsia="Times New Roman" w:hAnsi="Times New Roman" w:cs="Times New Roman"/>
                <w:sz w:val="21"/>
              </w:rPr>
              <w:t>Correlative predications of derived words</w:t>
            </w:r>
          </w:p>
        </w:tc>
      </w:tr>
      <w:tr w:rsidR="009F3E25">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9F3E25" w:rsidRDefault="009F3E25" w:rsidP="009F3E25">
            <w:r w:rsidRPr="00094DF8">
              <w:rPr>
                <w:rFonts w:ascii="Times New Roman" w:eastAsia="Times New Roman" w:hAnsi="Times New Roman" w:cs="Times New Roman"/>
                <w:b/>
                <w:sz w:val="21"/>
              </w:rPr>
              <w:t>Methods of teaching and mastering the material:</w:t>
            </w:r>
          </w:p>
        </w:tc>
      </w:tr>
      <w:tr w:rsidR="009F3E25">
        <w:trPr>
          <w:trHeight w:val="791"/>
        </w:trPr>
        <w:tc>
          <w:tcPr>
            <w:tcW w:w="9386" w:type="dxa"/>
            <w:gridSpan w:val="6"/>
            <w:tcBorders>
              <w:top w:val="single" w:sz="2" w:space="0" w:color="000000"/>
              <w:left w:val="single" w:sz="4" w:space="0" w:color="000000"/>
              <w:bottom w:val="single" w:sz="4" w:space="0" w:color="000000"/>
              <w:right w:val="single" w:sz="4" w:space="0" w:color="000000"/>
            </w:tcBorders>
          </w:tcPr>
          <w:p w:rsidR="009F3E25" w:rsidRDefault="009F3E25" w:rsidP="009F3E25">
            <w:pPr>
              <w:jc w:val="both"/>
              <w:rPr>
                <w:rFonts w:ascii="Times New Roman" w:eastAsia="Times New Roman" w:hAnsi="Times New Roman" w:cs="Times New Roman"/>
                <w:sz w:val="21"/>
              </w:rPr>
            </w:pPr>
          </w:p>
          <w:p w:rsidR="009F3E25" w:rsidRDefault="009F3E25" w:rsidP="009F3E25">
            <w:pPr>
              <w:jc w:val="both"/>
            </w:pPr>
            <w:r w:rsidRPr="009F3E25">
              <w:rPr>
                <w:rFonts w:ascii="Times New Roman" w:eastAsia="Times New Roman" w:hAnsi="Times New Roman" w:cs="Times New Roman"/>
                <w:sz w:val="21"/>
              </w:rPr>
              <w:t>Verbal-textual, demonstrative, experimental. Forms of teaching: interactive lectures, auditory exercises, consultations.</w:t>
            </w:r>
          </w:p>
        </w:tc>
      </w:tr>
      <w:tr w:rsidR="009F3E25">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F3E25" w:rsidRDefault="009F3E25" w:rsidP="009F3E25">
            <w:r>
              <w:rPr>
                <w:rFonts w:ascii="Times New Roman" w:eastAsia="Times New Roman" w:hAnsi="Times New Roman" w:cs="Times New Roman"/>
                <w:b/>
                <w:sz w:val="21"/>
              </w:rPr>
              <w:t xml:space="preserve">Literature: </w:t>
            </w:r>
          </w:p>
        </w:tc>
      </w:tr>
      <w:tr w:rsidR="009F3E25">
        <w:trPr>
          <w:trHeight w:val="9524"/>
        </w:trPr>
        <w:tc>
          <w:tcPr>
            <w:tcW w:w="9386" w:type="dxa"/>
            <w:gridSpan w:val="6"/>
            <w:tcBorders>
              <w:top w:val="single" w:sz="4"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1"/>
              </w:rPr>
              <w:t xml:space="preserve"> </w:t>
            </w:r>
          </w:p>
          <w:p w:rsidR="009F3E25" w:rsidRDefault="009F3E25" w:rsidP="009F3E25">
            <w:pPr>
              <w:numPr>
                <w:ilvl w:val="0"/>
                <w:numId w:val="4"/>
              </w:numPr>
              <w:spacing w:after="9" w:line="235" w:lineRule="auto"/>
              <w:ind w:right="50" w:hanging="374"/>
              <w:jc w:val="both"/>
            </w:pPr>
            <w:proofErr w:type="spellStart"/>
            <w:r>
              <w:rPr>
                <w:rFonts w:ascii="Times New Roman" w:eastAsia="Times New Roman" w:hAnsi="Times New Roman" w:cs="Times New Roman"/>
                <w:sz w:val="23"/>
              </w:rPr>
              <w:t>Караулов</w:t>
            </w:r>
            <w:proofErr w:type="spellEnd"/>
            <w:r>
              <w:rPr>
                <w:rFonts w:ascii="Times New Roman" w:eastAsia="Times New Roman" w:hAnsi="Times New Roman" w:cs="Times New Roman"/>
                <w:sz w:val="23"/>
              </w:rPr>
              <w:t>,</w:t>
            </w:r>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23"/>
              </w:rPr>
              <w:t>Юрий</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Николаевич</w:t>
            </w:r>
            <w:proofErr w:type="spellEnd"/>
            <w:r>
              <w:rPr>
                <w:rFonts w:ascii="Times New Roman" w:eastAsia="Times New Roman" w:hAnsi="Times New Roman" w:cs="Times New Roman"/>
                <w:sz w:val="23"/>
              </w:rPr>
              <w:t>.</w:t>
            </w:r>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23"/>
              </w:rPr>
              <w:t>Общая</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русская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идеография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Издательство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2010.</w:t>
            </w:r>
            <w:r>
              <w:rPr>
                <w:rFonts w:ascii="Times New Roman" w:eastAsia="Times New Roman" w:hAnsi="Times New Roman" w:cs="Times New Roman"/>
                <w:i/>
                <w:sz w:val="23"/>
              </w:rPr>
              <w:t xml:space="preserve"> </w:t>
            </w:r>
          </w:p>
          <w:p w:rsidR="009F3E25" w:rsidRDefault="009F3E25" w:rsidP="009F3E25">
            <w:pPr>
              <w:numPr>
                <w:ilvl w:val="0"/>
                <w:numId w:val="4"/>
              </w:numPr>
              <w:spacing w:after="12" w:line="234" w:lineRule="auto"/>
              <w:ind w:right="50" w:hanging="374"/>
              <w:jc w:val="both"/>
            </w:pPr>
            <w:proofErr w:type="spellStart"/>
            <w:r>
              <w:rPr>
                <w:rFonts w:ascii="Times New Roman" w:eastAsia="Times New Roman" w:hAnsi="Times New Roman" w:cs="Times New Roman"/>
                <w:sz w:val="23"/>
              </w:rPr>
              <w:t>Кузнецова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Э.В</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Части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речи</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лексико-семантические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группы</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слов</w:t>
            </w:r>
            <w:proofErr w:type="spellEnd"/>
            <w:r>
              <w:rPr>
                <w:rFonts w:ascii="Times New Roman" w:eastAsia="Times New Roman" w:hAnsi="Times New Roman" w:cs="Times New Roman"/>
                <w:sz w:val="23"/>
              </w:rPr>
              <w:t xml:space="preserve"> // </w:t>
            </w:r>
            <w:proofErr w:type="spellStart"/>
            <w:r>
              <w:rPr>
                <w:rFonts w:ascii="Times New Roman" w:eastAsia="Times New Roman" w:hAnsi="Times New Roman" w:cs="Times New Roman"/>
                <w:sz w:val="23"/>
              </w:rPr>
              <w:t>Вопр</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языкознания</w:t>
            </w:r>
            <w:proofErr w:type="spellEnd"/>
            <w:r>
              <w:rPr>
                <w:rFonts w:ascii="Times New Roman" w:eastAsia="Times New Roman" w:hAnsi="Times New Roman" w:cs="Times New Roman"/>
                <w:sz w:val="23"/>
              </w:rPr>
              <w:t xml:space="preserve">. -1975. № 5. </w:t>
            </w:r>
            <w:proofErr w:type="gramStart"/>
            <w:r>
              <w:rPr>
                <w:rFonts w:ascii="Times New Roman" w:eastAsia="Times New Roman" w:hAnsi="Times New Roman" w:cs="Times New Roman"/>
                <w:sz w:val="23"/>
              </w:rPr>
              <w:t>С. 78</w:t>
            </w:r>
            <w:proofErr w:type="gramEnd"/>
            <w:r>
              <w:rPr>
                <w:rFonts w:ascii="Times New Roman" w:eastAsia="Times New Roman" w:hAnsi="Times New Roman" w:cs="Times New Roman"/>
                <w:sz w:val="23"/>
              </w:rPr>
              <w:t xml:space="preserve">–86. </w:t>
            </w:r>
            <w:r>
              <w:rPr>
                <w:rFonts w:ascii="Times New Roman" w:eastAsia="Times New Roman" w:hAnsi="Times New Roman" w:cs="Times New Roman"/>
                <w:i/>
                <w:sz w:val="23"/>
              </w:rPr>
              <w:t xml:space="preserve"> </w:t>
            </w:r>
          </w:p>
          <w:p w:rsidR="009F3E25" w:rsidRDefault="009F3E25" w:rsidP="009F3E25">
            <w:pPr>
              <w:numPr>
                <w:ilvl w:val="0"/>
                <w:numId w:val="4"/>
              </w:numPr>
              <w:spacing w:line="239" w:lineRule="auto"/>
              <w:ind w:right="50" w:hanging="374"/>
              <w:jc w:val="both"/>
            </w:pPr>
            <w:proofErr w:type="spellStart"/>
            <w:r>
              <w:rPr>
                <w:rFonts w:ascii="Times New Roman" w:eastAsia="Times New Roman" w:hAnsi="Times New Roman" w:cs="Times New Roman"/>
                <w:sz w:val="23"/>
              </w:rPr>
              <w:t>Васильев</w:t>
            </w:r>
            <w:proofErr w:type="spellEnd"/>
            <w:r>
              <w:rPr>
                <w:rFonts w:ascii="Times New Roman" w:eastAsia="Times New Roman" w:hAnsi="Times New Roman" w:cs="Times New Roman"/>
                <w:sz w:val="23"/>
              </w:rPr>
              <w:t xml:space="preserve"> Л. М. </w:t>
            </w:r>
            <w:proofErr w:type="spellStart"/>
            <w:r>
              <w:rPr>
                <w:rFonts w:ascii="Times New Roman" w:eastAsia="Times New Roman" w:hAnsi="Times New Roman" w:cs="Times New Roman"/>
                <w:sz w:val="23"/>
              </w:rPr>
              <w:t>Теория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семантических</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полей</w:t>
            </w:r>
            <w:proofErr w:type="spellEnd"/>
            <w:r>
              <w:rPr>
                <w:rFonts w:ascii="Times New Roman" w:eastAsia="Times New Roman" w:hAnsi="Times New Roman" w:cs="Times New Roman"/>
                <w:sz w:val="23"/>
              </w:rPr>
              <w:t xml:space="preserve"> // </w:t>
            </w:r>
            <w:proofErr w:type="spellStart"/>
            <w:r>
              <w:rPr>
                <w:rFonts w:ascii="Times New Roman" w:eastAsia="Times New Roman" w:hAnsi="Times New Roman" w:cs="Times New Roman"/>
                <w:sz w:val="23"/>
              </w:rPr>
              <w:t>Вопросы</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языкознания</w:t>
            </w:r>
            <w:proofErr w:type="spellEnd"/>
            <w:r>
              <w:rPr>
                <w:rFonts w:ascii="Times New Roman" w:eastAsia="Times New Roman" w:hAnsi="Times New Roman" w:cs="Times New Roman"/>
                <w:sz w:val="23"/>
              </w:rPr>
              <w:t xml:space="preserve">. 1971. №5.           -   </w:t>
            </w:r>
            <w:proofErr w:type="spellStart"/>
            <w:r>
              <w:rPr>
                <w:rFonts w:ascii="Times New Roman" w:eastAsia="Times New Roman" w:hAnsi="Times New Roman" w:cs="Times New Roman"/>
                <w:sz w:val="23"/>
              </w:rPr>
              <w:t>Лукьянова</w:t>
            </w:r>
            <w:proofErr w:type="spellEnd"/>
            <w:r>
              <w:rPr>
                <w:rFonts w:ascii="Times New Roman" w:eastAsia="Times New Roman" w:hAnsi="Times New Roman" w:cs="Times New Roman"/>
                <w:sz w:val="23"/>
              </w:rPr>
              <w:t xml:space="preserve"> Н. А. </w:t>
            </w:r>
            <w:proofErr w:type="spellStart"/>
            <w:r>
              <w:rPr>
                <w:rFonts w:ascii="Times New Roman" w:eastAsia="Times New Roman" w:hAnsi="Times New Roman" w:cs="Times New Roman"/>
                <w:sz w:val="23"/>
              </w:rPr>
              <w:t>Термины</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понятия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лексикологии</w:t>
            </w:r>
            <w:proofErr w:type="spellEnd"/>
            <w:r>
              <w:rPr>
                <w:rFonts w:ascii="Times New Roman" w:eastAsia="Times New Roman" w:hAnsi="Times New Roman" w:cs="Times New Roman"/>
                <w:sz w:val="23"/>
              </w:rPr>
              <w:t xml:space="preserve"> в </w:t>
            </w:r>
            <w:proofErr w:type="spellStart"/>
            <w:r>
              <w:rPr>
                <w:rFonts w:ascii="Times New Roman" w:eastAsia="Times New Roman" w:hAnsi="Times New Roman" w:cs="Times New Roman"/>
                <w:sz w:val="23"/>
              </w:rPr>
              <w:t>схемах</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таблицах</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пояснениях</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образцы</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анализа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слов</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Учеб</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пособие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Новосибирск</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НГУ</w:t>
            </w:r>
            <w:proofErr w:type="spellEnd"/>
            <w:r>
              <w:rPr>
                <w:rFonts w:ascii="Times New Roman" w:eastAsia="Times New Roman" w:hAnsi="Times New Roman" w:cs="Times New Roman"/>
                <w:sz w:val="23"/>
              </w:rPr>
              <w:t xml:space="preserve">, 2013. </w:t>
            </w:r>
          </w:p>
          <w:p w:rsidR="009F3E25" w:rsidRDefault="009F3E25" w:rsidP="009F3E25">
            <w:pPr>
              <w:numPr>
                <w:ilvl w:val="0"/>
                <w:numId w:val="4"/>
              </w:numPr>
              <w:spacing w:line="243" w:lineRule="auto"/>
              <w:ind w:right="50" w:hanging="374"/>
              <w:jc w:val="both"/>
            </w:pPr>
            <w:proofErr w:type="spellStart"/>
            <w:r>
              <w:rPr>
                <w:rFonts w:ascii="Times New Roman" w:eastAsia="Times New Roman" w:hAnsi="Times New Roman" w:cs="Times New Roman"/>
                <w:sz w:val="23"/>
              </w:rPr>
              <w:t>Ефимова</w:t>
            </w:r>
            <w:proofErr w:type="spellEnd"/>
            <w:r>
              <w:rPr>
                <w:rFonts w:ascii="Times New Roman" w:eastAsia="Times New Roman" w:hAnsi="Times New Roman" w:cs="Times New Roman"/>
                <w:sz w:val="23"/>
              </w:rPr>
              <w:t xml:space="preserve"> 2006: В. С. </w:t>
            </w:r>
            <w:proofErr w:type="spellStart"/>
            <w:r>
              <w:rPr>
                <w:rFonts w:ascii="Times New Roman" w:eastAsia="Times New Roman" w:hAnsi="Times New Roman" w:cs="Times New Roman"/>
                <w:sz w:val="23"/>
              </w:rPr>
              <w:t>Ефимова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Старославянская</w:t>
            </w:r>
            <w:proofErr w:type="spellEnd"/>
            <w:r>
              <w:rPr>
                <w:rFonts w:ascii="Times New Roman" w:eastAsia="Times New Roman" w:hAnsi="Times New Roman" w:cs="Times New Roman"/>
                <w:i/>
                <w:sz w:val="23"/>
              </w:rPr>
              <w:t xml:space="preserve"> </w:t>
            </w:r>
            <w:proofErr w:type="spellStart"/>
            <w:proofErr w:type="gramStart"/>
            <w:r>
              <w:rPr>
                <w:rFonts w:ascii="Times New Roman" w:eastAsia="Times New Roman" w:hAnsi="Times New Roman" w:cs="Times New Roman"/>
                <w:i/>
                <w:sz w:val="23"/>
              </w:rPr>
              <w:t>словообразовательная</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морфемика</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Российская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академия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Институт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славяноведения</w:t>
            </w:r>
            <w:proofErr w:type="spellEnd"/>
            <w:r>
              <w:rPr>
                <w:rFonts w:ascii="Times New Roman" w:eastAsia="Times New Roman" w:hAnsi="Times New Roman" w:cs="Times New Roman"/>
                <w:sz w:val="23"/>
              </w:rPr>
              <w:t xml:space="preserve">. </w:t>
            </w:r>
          </w:p>
          <w:p w:rsidR="009F3E25" w:rsidRDefault="009F3E25" w:rsidP="009F3E25">
            <w:pPr>
              <w:numPr>
                <w:ilvl w:val="0"/>
                <w:numId w:val="4"/>
              </w:numPr>
              <w:spacing w:line="243" w:lineRule="auto"/>
              <w:ind w:right="50" w:hanging="374"/>
              <w:jc w:val="both"/>
            </w:pPr>
            <w:proofErr w:type="spellStart"/>
            <w:r>
              <w:rPr>
                <w:rFonts w:ascii="Times New Roman" w:eastAsia="Times New Roman" w:hAnsi="Times New Roman" w:cs="Times New Roman"/>
                <w:sz w:val="23"/>
              </w:rPr>
              <w:t>Цейтлин</w:t>
            </w:r>
            <w:proofErr w:type="spellEnd"/>
            <w:r>
              <w:rPr>
                <w:rFonts w:ascii="Times New Roman" w:eastAsia="Times New Roman" w:hAnsi="Times New Roman" w:cs="Times New Roman"/>
                <w:sz w:val="23"/>
              </w:rPr>
              <w:t xml:space="preserve"> 1977: Р. М. </w:t>
            </w:r>
            <w:proofErr w:type="spellStart"/>
            <w:r>
              <w:rPr>
                <w:rFonts w:ascii="Times New Roman" w:eastAsia="Times New Roman" w:hAnsi="Times New Roman" w:cs="Times New Roman"/>
                <w:sz w:val="23"/>
              </w:rPr>
              <w:t>Цейтлин</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Лексика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старославянского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языка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Издательство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xml:space="preserve">“.     </w:t>
            </w:r>
          </w:p>
          <w:p w:rsidR="009F3E25" w:rsidRDefault="009F3E25" w:rsidP="009F3E25">
            <w:pPr>
              <w:numPr>
                <w:ilvl w:val="0"/>
                <w:numId w:val="4"/>
              </w:numPr>
              <w:spacing w:line="238" w:lineRule="auto"/>
              <w:ind w:right="50" w:hanging="374"/>
              <w:jc w:val="both"/>
            </w:pPr>
            <w:proofErr w:type="spellStart"/>
            <w:r>
              <w:rPr>
                <w:rFonts w:ascii="Times New Roman" w:eastAsia="Times New Roman" w:hAnsi="Times New Roman" w:cs="Times New Roman"/>
                <w:sz w:val="23"/>
              </w:rPr>
              <w:t>Улуханов</w:t>
            </w:r>
            <w:proofErr w:type="spellEnd"/>
            <w:r>
              <w:rPr>
                <w:rFonts w:ascii="Times New Roman" w:eastAsia="Times New Roman" w:hAnsi="Times New Roman" w:cs="Times New Roman"/>
                <w:sz w:val="23"/>
              </w:rPr>
              <w:t xml:space="preserve"> 2004: И. С. </w:t>
            </w:r>
            <w:proofErr w:type="spellStart"/>
            <w:r>
              <w:rPr>
                <w:rFonts w:ascii="Times New Roman" w:eastAsia="Times New Roman" w:hAnsi="Times New Roman" w:cs="Times New Roman"/>
                <w:sz w:val="23"/>
              </w:rPr>
              <w:t>Улуханов</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Некоторые</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вопросы</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теории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исторического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словообразования</w:t>
            </w:r>
            <w:proofErr w:type="spellEnd"/>
            <w:r>
              <w:rPr>
                <w:rFonts w:ascii="Times New Roman" w:eastAsia="Times New Roman" w:hAnsi="Times New Roman" w:cs="Times New Roman"/>
                <w:sz w:val="23"/>
              </w:rPr>
              <w:t xml:space="preserve">, у: </w:t>
            </w:r>
            <w:proofErr w:type="spellStart"/>
            <w:r>
              <w:rPr>
                <w:rFonts w:ascii="Times New Roman" w:eastAsia="Times New Roman" w:hAnsi="Times New Roman" w:cs="Times New Roman"/>
                <w:sz w:val="23"/>
              </w:rPr>
              <w:t>Праблемы</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тəорьii</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i</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гiсторьii</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славянскага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словаўтварəння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Мiнск</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Нацыянальная</w:t>
            </w:r>
            <w:proofErr w:type="spellEnd"/>
            <w:r>
              <w:rPr>
                <w:rFonts w:ascii="Times New Roman" w:eastAsia="Times New Roman" w:hAnsi="Times New Roman" w:cs="Times New Roman"/>
                <w:sz w:val="23"/>
              </w:rPr>
              <w:t xml:space="preserve"> </w:t>
            </w:r>
            <w:proofErr w:type="spellStart"/>
            <w:proofErr w:type="gramStart"/>
            <w:r>
              <w:rPr>
                <w:rFonts w:ascii="Times New Roman" w:eastAsia="Times New Roman" w:hAnsi="Times New Roman" w:cs="Times New Roman"/>
                <w:sz w:val="23"/>
              </w:rPr>
              <w:t>акадəмiя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навук</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беларусi</w:t>
            </w:r>
            <w:proofErr w:type="spellEnd"/>
            <w:r>
              <w:rPr>
                <w:rFonts w:ascii="Times New Roman" w:eastAsia="Times New Roman" w:hAnsi="Times New Roman" w:cs="Times New Roman"/>
                <w:sz w:val="23"/>
              </w:rPr>
              <w:t xml:space="preserve">. </w:t>
            </w:r>
          </w:p>
          <w:p w:rsidR="009F3E25" w:rsidRDefault="009F3E25" w:rsidP="009F3E25">
            <w:pPr>
              <w:numPr>
                <w:ilvl w:val="0"/>
                <w:numId w:val="4"/>
              </w:numPr>
              <w:spacing w:line="238" w:lineRule="auto"/>
              <w:ind w:right="50" w:hanging="374"/>
              <w:jc w:val="both"/>
            </w:pPr>
            <w:proofErr w:type="spellStart"/>
            <w:r>
              <w:rPr>
                <w:rFonts w:ascii="Times New Roman" w:eastAsia="Times New Roman" w:hAnsi="Times New Roman" w:cs="Times New Roman"/>
                <w:sz w:val="23"/>
              </w:rPr>
              <w:t>Улуханов</w:t>
            </w:r>
            <w:proofErr w:type="spellEnd"/>
            <w:r>
              <w:rPr>
                <w:rFonts w:ascii="Times New Roman" w:eastAsia="Times New Roman" w:hAnsi="Times New Roman" w:cs="Times New Roman"/>
                <w:sz w:val="19"/>
              </w:rPr>
              <w:t xml:space="preserve"> </w:t>
            </w:r>
            <w:r>
              <w:rPr>
                <w:rFonts w:ascii="Times New Roman" w:eastAsia="Times New Roman" w:hAnsi="Times New Roman" w:cs="Times New Roman"/>
                <w:sz w:val="23"/>
              </w:rPr>
              <w:t xml:space="preserve">1978: И. С. </w:t>
            </w:r>
            <w:proofErr w:type="spellStart"/>
            <w:r>
              <w:rPr>
                <w:rFonts w:ascii="Times New Roman" w:eastAsia="Times New Roman" w:hAnsi="Times New Roman" w:cs="Times New Roman"/>
                <w:sz w:val="23"/>
              </w:rPr>
              <w:t>Улуханов</w:t>
            </w:r>
            <w:proofErr w:type="spellEnd"/>
            <w:r>
              <w:rPr>
                <w:rFonts w:ascii="Times New Roman" w:eastAsia="Times New Roman" w:hAnsi="Times New Roman" w:cs="Times New Roman"/>
                <w:sz w:val="23"/>
              </w:rPr>
              <w:t xml:space="preserve">. О </w:t>
            </w:r>
            <w:proofErr w:type="spellStart"/>
            <w:r>
              <w:rPr>
                <w:rFonts w:ascii="Times New Roman" w:eastAsia="Times New Roman" w:hAnsi="Times New Roman" w:cs="Times New Roman"/>
                <w:sz w:val="23"/>
              </w:rPr>
              <w:t>соотношении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способов</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словообразования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Русский</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язык</w:t>
            </w:r>
            <w:proofErr w:type="spellEnd"/>
            <w:r>
              <w:rPr>
                <w:rFonts w:ascii="Times New Roman" w:eastAsia="Times New Roman" w:hAnsi="Times New Roman" w:cs="Times New Roman"/>
                <w:i/>
                <w:sz w:val="23"/>
              </w:rPr>
              <w:t xml:space="preserve"> – </w:t>
            </w:r>
            <w:proofErr w:type="spellStart"/>
            <w:r>
              <w:rPr>
                <w:rFonts w:ascii="Times New Roman" w:eastAsia="Times New Roman" w:hAnsi="Times New Roman" w:cs="Times New Roman"/>
                <w:i/>
                <w:sz w:val="23"/>
              </w:rPr>
              <w:t>вопросы</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его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истории</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современного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состояния</w:t>
            </w:r>
            <w:proofErr w:type="spellEnd"/>
            <w:r>
              <w:rPr>
                <w:rFonts w:ascii="Times New Roman" w:eastAsia="Times New Roman" w:hAnsi="Times New Roman" w:cs="Times New Roman"/>
                <w:i/>
                <w:sz w:val="23"/>
              </w:rPr>
              <w:t>.</w:t>
            </w:r>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Издательство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xml:space="preserve">“, 90-106. </w:t>
            </w:r>
          </w:p>
          <w:p w:rsidR="009F3E25" w:rsidRDefault="009F3E25" w:rsidP="009F3E25">
            <w:pPr>
              <w:numPr>
                <w:ilvl w:val="0"/>
                <w:numId w:val="4"/>
              </w:numPr>
              <w:spacing w:line="238" w:lineRule="auto"/>
              <w:ind w:right="50" w:hanging="374"/>
              <w:jc w:val="both"/>
            </w:pPr>
            <w:proofErr w:type="spellStart"/>
            <w:r>
              <w:rPr>
                <w:rFonts w:ascii="Times New Roman" w:eastAsia="Times New Roman" w:hAnsi="Times New Roman" w:cs="Times New Roman"/>
                <w:sz w:val="23"/>
              </w:rPr>
              <w:t>Ксенија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Кончаревић</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Поглед</w:t>
            </w:r>
            <w:proofErr w:type="spellEnd"/>
            <w:r>
              <w:rPr>
                <w:rFonts w:ascii="Times New Roman" w:eastAsia="Times New Roman" w:hAnsi="Times New Roman" w:cs="Times New Roman"/>
                <w:i/>
                <w:sz w:val="23"/>
              </w:rPr>
              <w:t xml:space="preserve"> у </w:t>
            </w:r>
            <w:proofErr w:type="spellStart"/>
            <w:r>
              <w:rPr>
                <w:rFonts w:ascii="Times New Roman" w:eastAsia="Times New Roman" w:hAnsi="Times New Roman" w:cs="Times New Roman"/>
                <w:i/>
                <w:sz w:val="23"/>
              </w:rPr>
              <w:t>теолингвистику</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Београд</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Јасен</w:t>
            </w:r>
            <w:proofErr w:type="spellEnd"/>
            <w:r>
              <w:rPr>
                <w:rFonts w:ascii="Times New Roman" w:eastAsia="Times New Roman" w:hAnsi="Times New Roman" w:cs="Times New Roman"/>
                <w:sz w:val="23"/>
              </w:rPr>
              <w:t xml:space="preserve"> 2015.           - </w:t>
            </w:r>
            <w:proofErr w:type="spellStart"/>
            <w:r>
              <w:rPr>
                <w:rFonts w:ascii="Times New Roman" w:eastAsia="Times New Roman" w:hAnsi="Times New Roman" w:cs="Times New Roman"/>
                <w:sz w:val="23"/>
              </w:rPr>
              <w:t>Зорица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Никитовић</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Сложенице</w:t>
            </w:r>
            <w:proofErr w:type="spellEnd"/>
            <w:r>
              <w:rPr>
                <w:rFonts w:ascii="Times New Roman" w:eastAsia="Times New Roman" w:hAnsi="Times New Roman" w:cs="Times New Roman"/>
                <w:i/>
                <w:sz w:val="23"/>
              </w:rPr>
              <w:t xml:space="preserve"> у </w:t>
            </w:r>
            <w:proofErr w:type="spellStart"/>
            <w:r>
              <w:rPr>
                <w:rFonts w:ascii="Times New Roman" w:eastAsia="Times New Roman" w:hAnsi="Times New Roman" w:cs="Times New Roman"/>
                <w:i/>
                <w:sz w:val="23"/>
              </w:rPr>
              <w:t>оригиналним</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српскословенским</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дјелима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сакралног</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карактера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Филолошки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факултет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Бања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Лука</w:t>
            </w:r>
            <w:proofErr w:type="spellEnd"/>
            <w:r>
              <w:rPr>
                <w:rFonts w:ascii="Times New Roman" w:eastAsia="Times New Roman" w:hAnsi="Times New Roman" w:cs="Times New Roman"/>
                <w:sz w:val="23"/>
              </w:rPr>
              <w:t xml:space="preserve"> 2014.  </w:t>
            </w:r>
          </w:p>
          <w:p w:rsidR="009F3E25" w:rsidRDefault="009F3E25" w:rsidP="009F3E25">
            <w:pPr>
              <w:numPr>
                <w:ilvl w:val="0"/>
                <w:numId w:val="4"/>
              </w:numPr>
              <w:spacing w:after="71"/>
              <w:ind w:right="50" w:hanging="374"/>
              <w:jc w:val="both"/>
            </w:pPr>
            <w:proofErr w:type="spellStart"/>
            <w:r>
              <w:rPr>
                <w:rFonts w:ascii="Times New Roman" w:eastAsia="Times New Roman" w:hAnsi="Times New Roman" w:cs="Times New Roman"/>
                <w:sz w:val="23"/>
              </w:rPr>
              <w:t>Зорица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Никитовић</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Сакралност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као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семантичка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категорија</w:t>
            </w:r>
            <w:proofErr w:type="spellEnd"/>
            <w:r>
              <w:rPr>
                <w:rFonts w:ascii="Times New Roman" w:eastAsia="Times New Roman" w:hAnsi="Times New Roman" w:cs="Times New Roman"/>
                <w:sz w:val="23"/>
              </w:rPr>
              <w:t>.</w:t>
            </w:r>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Зборник</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научног</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скупа</w:t>
            </w:r>
            <w:proofErr w:type="spellEnd"/>
            <w:r>
              <w:rPr>
                <w:rFonts w:ascii="Times New Roman" w:eastAsia="Times New Roman" w:hAnsi="Times New Roman" w:cs="Times New Roman"/>
                <w:i/>
                <w:sz w:val="23"/>
              </w:rPr>
              <w:t xml:space="preserve"> </w:t>
            </w:r>
          </w:p>
          <w:p w:rsidR="009F3E25" w:rsidRDefault="009F3E25" w:rsidP="009F3E25">
            <w:pPr>
              <w:spacing w:after="37"/>
              <w:ind w:left="701"/>
            </w:pPr>
            <w:proofErr w:type="spellStart"/>
            <w:r>
              <w:rPr>
                <w:rFonts w:ascii="Times New Roman" w:eastAsia="Times New Roman" w:hAnsi="Times New Roman" w:cs="Times New Roman"/>
                <w:i/>
                <w:sz w:val="23"/>
              </w:rPr>
              <w:t>Наука</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идентитет</w:t>
            </w:r>
            <w:proofErr w:type="spellEnd"/>
            <w:r>
              <w:rPr>
                <w:rFonts w:ascii="Times New Roman" w:eastAsia="Times New Roman" w:hAnsi="Times New Roman" w:cs="Times New Roman"/>
                <w:sz w:val="23"/>
              </w:rPr>
              <w:t>.</w:t>
            </w:r>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sz w:val="23"/>
              </w:rPr>
              <w:t>Пале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Филозофски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факултет</w:t>
            </w:r>
            <w:proofErr w:type="spellEnd"/>
            <w:r>
              <w:rPr>
                <w:rFonts w:ascii="Times New Roman" w:eastAsia="Times New Roman" w:hAnsi="Times New Roman" w:cs="Times New Roman"/>
                <w:sz w:val="23"/>
              </w:rPr>
              <w:t>, 2012</w:t>
            </w:r>
            <w:proofErr w:type="gramStart"/>
            <w:r>
              <w:rPr>
                <w:rFonts w:ascii="Times New Roman" w:eastAsia="Times New Roman" w:hAnsi="Times New Roman" w:cs="Times New Roman"/>
                <w:sz w:val="23"/>
              </w:rPr>
              <w:t>,  245</w:t>
            </w:r>
            <w:proofErr w:type="gramEnd"/>
            <w:r>
              <w:rPr>
                <w:rFonts w:ascii="Arial" w:eastAsia="Arial" w:hAnsi="Arial" w:cs="Arial"/>
                <w:sz w:val="23"/>
              </w:rPr>
              <w:t>‒</w:t>
            </w:r>
            <w:r>
              <w:rPr>
                <w:rFonts w:ascii="Times New Roman" w:eastAsia="Times New Roman" w:hAnsi="Times New Roman" w:cs="Times New Roman"/>
                <w:sz w:val="23"/>
              </w:rPr>
              <w:t xml:space="preserve">259. </w:t>
            </w:r>
          </w:p>
          <w:p w:rsidR="009F3E25" w:rsidRDefault="009F3E25" w:rsidP="009F3E25">
            <w:pPr>
              <w:numPr>
                <w:ilvl w:val="0"/>
                <w:numId w:val="4"/>
              </w:numPr>
              <w:spacing w:after="5" w:line="238" w:lineRule="auto"/>
              <w:ind w:right="50" w:hanging="374"/>
              <w:jc w:val="both"/>
            </w:pPr>
            <w:proofErr w:type="spellStart"/>
            <w:r>
              <w:rPr>
                <w:rFonts w:ascii="Times New Roman" w:eastAsia="Times New Roman" w:hAnsi="Times New Roman" w:cs="Times New Roman"/>
                <w:i/>
                <w:sz w:val="23"/>
              </w:rPr>
              <w:t>Теолингвистика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међународни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тематски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зборник</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радова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уредници</w:t>
            </w:r>
            <w:proofErr w:type="spellEnd"/>
            <w:r>
              <w:rPr>
                <w:rFonts w:ascii="Times New Roman" w:eastAsia="Times New Roman" w:hAnsi="Times New Roman" w:cs="Times New Roman"/>
                <w:sz w:val="23"/>
              </w:rPr>
              <w:t xml:space="preserve"> А. К. </w:t>
            </w:r>
            <w:proofErr w:type="spellStart"/>
            <w:r>
              <w:rPr>
                <w:rFonts w:ascii="Times New Roman" w:eastAsia="Times New Roman" w:hAnsi="Times New Roman" w:cs="Times New Roman"/>
                <w:sz w:val="23"/>
              </w:rPr>
              <w:t>Гадомски</w:t>
            </w:r>
            <w:proofErr w:type="spellEnd"/>
            <w:r>
              <w:rPr>
                <w:rFonts w:ascii="Times New Roman" w:eastAsia="Times New Roman" w:hAnsi="Times New Roman" w:cs="Times New Roman"/>
                <w:sz w:val="23"/>
              </w:rPr>
              <w:t xml:space="preserve"> и К. </w:t>
            </w:r>
            <w:proofErr w:type="spellStart"/>
            <w:r>
              <w:rPr>
                <w:rFonts w:ascii="Times New Roman" w:eastAsia="Times New Roman" w:hAnsi="Times New Roman" w:cs="Times New Roman"/>
                <w:sz w:val="23"/>
              </w:rPr>
              <w:t>Кончаревић</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sz w:val="23"/>
              </w:rPr>
              <w:t>Београд</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Универзитет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Православни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богословски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факултет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универзитета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Институт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за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теолошка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истраживања</w:t>
            </w:r>
            <w:proofErr w:type="spellEnd"/>
            <w:r>
              <w:rPr>
                <w:rFonts w:ascii="Times New Roman" w:eastAsia="Times New Roman" w:hAnsi="Times New Roman" w:cs="Times New Roman"/>
                <w:sz w:val="23"/>
              </w:rPr>
              <w:t xml:space="preserve">, 2012).  </w:t>
            </w:r>
          </w:p>
          <w:p w:rsidR="009F3E25" w:rsidRDefault="009F3E25" w:rsidP="009F3E25">
            <w:pPr>
              <w:numPr>
                <w:ilvl w:val="0"/>
                <w:numId w:val="4"/>
              </w:numPr>
              <w:spacing w:line="238" w:lineRule="auto"/>
              <w:ind w:right="50" w:hanging="374"/>
              <w:jc w:val="both"/>
            </w:pPr>
            <w:proofErr w:type="spellStart"/>
            <w:r>
              <w:rPr>
                <w:rFonts w:ascii="Times New Roman" w:eastAsia="Times New Roman" w:hAnsi="Times New Roman" w:cs="Times New Roman"/>
                <w:i/>
                <w:sz w:val="23"/>
              </w:rPr>
              <w:t>Теолингвистичка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истраживања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српског</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других</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словенских</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језика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уредници</w:t>
            </w:r>
            <w:proofErr w:type="spellEnd"/>
            <w:r>
              <w:rPr>
                <w:rFonts w:ascii="Times New Roman" w:eastAsia="Times New Roman" w:hAnsi="Times New Roman" w:cs="Times New Roman"/>
                <w:sz w:val="23"/>
              </w:rPr>
              <w:t xml:space="preserve"> Ј. </w:t>
            </w:r>
            <w:proofErr w:type="spellStart"/>
            <w:r>
              <w:rPr>
                <w:rFonts w:ascii="Times New Roman" w:eastAsia="Times New Roman" w:hAnsi="Times New Roman" w:cs="Times New Roman"/>
                <w:sz w:val="23"/>
              </w:rPr>
              <w:t>Грковић-Мејџор</w:t>
            </w:r>
            <w:proofErr w:type="spellEnd"/>
            <w:r>
              <w:rPr>
                <w:rFonts w:ascii="Times New Roman" w:eastAsia="Times New Roman" w:hAnsi="Times New Roman" w:cs="Times New Roman"/>
                <w:sz w:val="23"/>
              </w:rPr>
              <w:t xml:space="preserve"> и К. </w:t>
            </w:r>
            <w:proofErr w:type="spellStart"/>
            <w:r>
              <w:rPr>
                <w:rFonts w:ascii="Times New Roman" w:eastAsia="Times New Roman" w:hAnsi="Times New Roman" w:cs="Times New Roman"/>
                <w:sz w:val="23"/>
              </w:rPr>
              <w:t>Кончаревић</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Београд</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Српска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академија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уметности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Одбор</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за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српски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језик</w:t>
            </w:r>
            <w:proofErr w:type="spellEnd"/>
            <w:r>
              <w:rPr>
                <w:rFonts w:ascii="Times New Roman" w:eastAsia="Times New Roman" w:hAnsi="Times New Roman" w:cs="Times New Roman"/>
                <w:sz w:val="23"/>
              </w:rPr>
              <w:t xml:space="preserve"> у </w:t>
            </w:r>
            <w:proofErr w:type="spellStart"/>
            <w:r>
              <w:rPr>
                <w:rFonts w:ascii="Times New Roman" w:eastAsia="Times New Roman" w:hAnsi="Times New Roman" w:cs="Times New Roman"/>
                <w:sz w:val="23"/>
              </w:rPr>
              <w:t>светлу</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савремених</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лингвистичких</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теорија</w:t>
            </w:r>
            <w:proofErr w:type="spellEnd"/>
            <w:r>
              <w:rPr>
                <w:rFonts w:ascii="Times New Roman" w:eastAsia="Times New Roman" w:hAnsi="Times New Roman" w:cs="Times New Roman"/>
                <w:sz w:val="23"/>
              </w:rPr>
              <w:t xml:space="preserve">, 2013).  </w:t>
            </w:r>
          </w:p>
          <w:p w:rsidR="009F3E25" w:rsidRDefault="009F3E25" w:rsidP="009F3E25">
            <w:pPr>
              <w:numPr>
                <w:ilvl w:val="0"/>
                <w:numId w:val="4"/>
              </w:numPr>
              <w:spacing w:after="5" w:line="238" w:lineRule="auto"/>
              <w:ind w:right="50" w:hanging="374"/>
              <w:jc w:val="both"/>
            </w:pPr>
            <w:proofErr w:type="spellStart"/>
            <w:r>
              <w:rPr>
                <w:rFonts w:ascii="Times New Roman" w:eastAsia="Times New Roman" w:hAnsi="Times New Roman" w:cs="Times New Roman"/>
                <w:i/>
                <w:sz w:val="23"/>
              </w:rPr>
              <w:t>Семантичко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деривациони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речник</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свеска</w:t>
            </w:r>
            <w:proofErr w:type="spellEnd"/>
            <w:r>
              <w:rPr>
                <w:rFonts w:ascii="Times New Roman" w:eastAsia="Times New Roman" w:hAnsi="Times New Roman" w:cs="Times New Roman"/>
                <w:i/>
                <w:sz w:val="23"/>
              </w:rPr>
              <w:t xml:space="preserve"> 2: </w:t>
            </w:r>
            <w:proofErr w:type="spellStart"/>
            <w:r>
              <w:rPr>
                <w:rFonts w:ascii="Times New Roman" w:eastAsia="Times New Roman" w:hAnsi="Times New Roman" w:cs="Times New Roman"/>
                <w:i/>
                <w:sz w:val="23"/>
              </w:rPr>
              <w:t>Човек</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унутрашњи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органи</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ткива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психофизиолошка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стања</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радње</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психофизичке</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особине</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сродство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Лингвистичке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свеске</w:t>
            </w:r>
            <w:proofErr w:type="spellEnd"/>
            <w:r>
              <w:rPr>
                <w:rFonts w:ascii="Times New Roman" w:eastAsia="Times New Roman" w:hAnsi="Times New Roman" w:cs="Times New Roman"/>
                <w:sz w:val="23"/>
              </w:rPr>
              <w:t xml:space="preserve"> 5. </w:t>
            </w:r>
            <w:proofErr w:type="spellStart"/>
            <w:proofErr w:type="gramStart"/>
            <w:r>
              <w:rPr>
                <w:rFonts w:ascii="Times New Roman" w:eastAsia="Times New Roman" w:hAnsi="Times New Roman" w:cs="Times New Roman"/>
                <w:sz w:val="23"/>
              </w:rPr>
              <w:t>прир</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Даринка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Гортан-Премк</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Вера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Васић</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Рајна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Драгићевић</w:t>
            </w:r>
            <w:proofErr w:type="spellEnd"/>
            <w:r>
              <w:rPr>
                <w:rFonts w:ascii="Times New Roman" w:eastAsia="Times New Roman" w:hAnsi="Times New Roman" w:cs="Times New Roman"/>
                <w:sz w:val="23"/>
              </w:rPr>
              <w:t xml:space="preserve">, 2006.  </w:t>
            </w:r>
          </w:p>
          <w:p w:rsidR="009F3E25" w:rsidRDefault="009F3E25" w:rsidP="009F3E25">
            <w:pPr>
              <w:numPr>
                <w:ilvl w:val="0"/>
                <w:numId w:val="4"/>
              </w:numPr>
              <w:spacing w:after="38" w:line="234" w:lineRule="auto"/>
              <w:ind w:right="50" w:hanging="374"/>
              <w:jc w:val="both"/>
            </w:pPr>
            <w:proofErr w:type="spellStart"/>
            <w:r>
              <w:rPr>
                <w:rFonts w:ascii="Times New Roman" w:eastAsia="Times New Roman" w:hAnsi="Times New Roman" w:cs="Times New Roman"/>
                <w:sz w:val="23"/>
              </w:rPr>
              <w:t>Radovanović</w:t>
            </w:r>
            <w:proofErr w:type="spellEnd"/>
            <w:r>
              <w:rPr>
                <w:rFonts w:ascii="Times New Roman" w:eastAsia="Times New Roman" w:hAnsi="Times New Roman" w:cs="Times New Roman"/>
                <w:sz w:val="23"/>
              </w:rPr>
              <w:t xml:space="preserve"> 1977: </w:t>
            </w:r>
            <w:proofErr w:type="spellStart"/>
            <w:r>
              <w:rPr>
                <w:rFonts w:ascii="Times New Roman" w:eastAsia="Times New Roman" w:hAnsi="Times New Roman" w:cs="Times New Roman"/>
                <w:sz w:val="23"/>
              </w:rPr>
              <w:t>Milorad</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Radovanović</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Imenica</w:t>
            </w:r>
            <w:proofErr w:type="spellEnd"/>
            <w:r>
              <w:rPr>
                <w:rFonts w:ascii="Times New Roman" w:eastAsia="Times New Roman" w:hAnsi="Times New Roman" w:cs="Times New Roman"/>
                <w:i/>
                <w:sz w:val="23"/>
              </w:rPr>
              <w:t xml:space="preserve"> u </w:t>
            </w:r>
            <w:proofErr w:type="spellStart"/>
            <w:r>
              <w:rPr>
                <w:rFonts w:ascii="Times New Roman" w:eastAsia="Times New Roman" w:hAnsi="Times New Roman" w:cs="Times New Roman"/>
                <w:i/>
                <w:sz w:val="23"/>
              </w:rPr>
              <w:t>funkciji</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kondenzatora</w:t>
            </w:r>
            <w:proofErr w:type="spellEnd"/>
            <w:r>
              <w:rPr>
                <w:rFonts w:ascii="Times New Roman" w:eastAsia="Times New Roman" w:hAnsi="Times New Roman" w:cs="Times New Roman"/>
                <w:sz w:val="23"/>
              </w:rPr>
              <w:t xml:space="preserve">. </w:t>
            </w:r>
            <w:proofErr w:type="spellStart"/>
            <w:proofErr w:type="gramStart"/>
            <w:r>
              <w:rPr>
                <w:rFonts w:ascii="Times New Roman" w:eastAsia="Times New Roman" w:hAnsi="Times New Roman" w:cs="Times New Roman"/>
                <w:sz w:val="23"/>
              </w:rPr>
              <w:t>Зборник</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Матице</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српске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за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филологију</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лингвистику</w:t>
            </w:r>
            <w:proofErr w:type="spellEnd"/>
            <w:r>
              <w:rPr>
                <w:rFonts w:ascii="Times New Roman" w:eastAsia="Times New Roman" w:hAnsi="Times New Roman" w:cs="Times New Roman"/>
                <w:sz w:val="23"/>
              </w:rPr>
              <w:t xml:space="preserve">, XXI </w:t>
            </w:r>
            <w:proofErr w:type="spellStart"/>
            <w:r>
              <w:rPr>
                <w:rFonts w:ascii="Times New Roman" w:eastAsia="Times New Roman" w:hAnsi="Times New Roman" w:cs="Times New Roman"/>
                <w:sz w:val="23"/>
              </w:rPr>
              <w:t>i</w:t>
            </w:r>
            <w:proofErr w:type="spellEnd"/>
            <w:r>
              <w:rPr>
                <w:rFonts w:ascii="Times New Roman" w:eastAsia="Times New Roman" w:hAnsi="Times New Roman" w:cs="Times New Roman"/>
                <w:sz w:val="23"/>
              </w:rPr>
              <w:t xml:space="preserve"> XXII,  1-162.</w:t>
            </w:r>
            <w:r>
              <w:rPr>
                <w:rFonts w:ascii="Times New Roman" w:eastAsia="Times New Roman" w:hAnsi="Times New Roman" w:cs="Times New Roman"/>
                <w:sz w:val="19"/>
              </w:rPr>
              <w:t xml:space="preserve"> </w:t>
            </w:r>
            <w:r>
              <w:rPr>
                <w:rFonts w:ascii="Times New Roman" w:eastAsia="Times New Roman" w:hAnsi="Times New Roman" w:cs="Times New Roman"/>
                <w:sz w:val="23"/>
              </w:rPr>
              <w:t xml:space="preserve"> </w:t>
            </w:r>
          </w:p>
          <w:p w:rsidR="009F3E25" w:rsidRDefault="009F3E25" w:rsidP="009F3E25">
            <w:pPr>
              <w:numPr>
                <w:ilvl w:val="0"/>
                <w:numId w:val="4"/>
              </w:numPr>
              <w:ind w:right="50" w:hanging="374"/>
              <w:jc w:val="both"/>
            </w:pPr>
            <w:proofErr w:type="spellStart"/>
            <w:r>
              <w:rPr>
                <w:rFonts w:ascii="Times New Roman" w:eastAsia="Times New Roman" w:hAnsi="Times New Roman" w:cs="Times New Roman"/>
                <w:sz w:val="23"/>
              </w:rPr>
              <w:t>Babić</w:t>
            </w:r>
            <w:proofErr w:type="spellEnd"/>
            <w:r>
              <w:rPr>
                <w:rFonts w:ascii="Times New Roman" w:eastAsia="Times New Roman" w:hAnsi="Times New Roman" w:cs="Times New Roman"/>
                <w:sz w:val="23"/>
              </w:rPr>
              <w:t xml:space="preserve"> 1986:  </w:t>
            </w:r>
            <w:proofErr w:type="spellStart"/>
            <w:r>
              <w:rPr>
                <w:rFonts w:ascii="Times New Roman" w:eastAsia="Times New Roman" w:hAnsi="Times New Roman" w:cs="Times New Roman"/>
                <w:sz w:val="23"/>
              </w:rPr>
              <w:t>Stjepan</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Babić</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Tvorba</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riječi</w:t>
            </w:r>
            <w:proofErr w:type="spellEnd"/>
            <w:r>
              <w:rPr>
                <w:rFonts w:ascii="Times New Roman" w:eastAsia="Times New Roman" w:hAnsi="Times New Roman" w:cs="Times New Roman"/>
                <w:i/>
                <w:sz w:val="23"/>
              </w:rPr>
              <w:t xml:space="preserve"> u </w:t>
            </w:r>
            <w:proofErr w:type="spellStart"/>
            <w:r>
              <w:rPr>
                <w:rFonts w:ascii="Times New Roman" w:eastAsia="Times New Roman" w:hAnsi="Times New Roman" w:cs="Times New Roman"/>
                <w:i/>
                <w:sz w:val="23"/>
              </w:rPr>
              <w:t>hrvatskom</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književnom</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jeziku</w:t>
            </w:r>
            <w:proofErr w:type="spellEnd"/>
            <w:r>
              <w:rPr>
                <w:rFonts w:ascii="Times New Roman" w:eastAsia="Times New Roman" w:hAnsi="Times New Roman" w:cs="Times New Roman"/>
                <w:sz w:val="23"/>
              </w:rPr>
              <w:t xml:space="preserve">. Zagreb: </w:t>
            </w:r>
          </w:p>
        </w:tc>
      </w:tr>
      <w:tr w:rsidR="009F3E25">
        <w:trPr>
          <w:trHeight w:val="1331"/>
        </w:trPr>
        <w:tc>
          <w:tcPr>
            <w:tcW w:w="9386" w:type="dxa"/>
            <w:gridSpan w:val="6"/>
            <w:tcBorders>
              <w:top w:val="single" w:sz="4" w:space="0" w:color="000000"/>
              <w:left w:val="single" w:sz="4" w:space="0" w:color="000000"/>
              <w:bottom w:val="single" w:sz="4" w:space="0" w:color="000000"/>
              <w:right w:val="single" w:sz="4" w:space="0" w:color="000000"/>
            </w:tcBorders>
          </w:tcPr>
          <w:p w:rsidR="009F3E25" w:rsidRDefault="009F3E25" w:rsidP="009F3E25">
            <w:pPr>
              <w:ind w:left="1052"/>
            </w:pPr>
            <w:proofErr w:type="spellStart"/>
            <w:r>
              <w:rPr>
                <w:rFonts w:ascii="Times New Roman" w:eastAsia="Times New Roman" w:hAnsi="Times New Roman" w:cs="Times New Roman"/>
                <w:sz w:val="23"/>
              </w:rPr>
              <w:t>JAZU</w:t>
            </w:r>
            <w:proofErr w:type="spellEnd"/>
            <w:r>
              <w:rPr>
                <w:rFonts w:ascii="Times New Roman" w:eastAsia="Times New Roman" w:hAnsi="Times New Roman" w:cs="Times New Roman"/>
                <w:sz w:val="23"/>
              </w:rPr>
              <w:t xml:space="preserve">. </w:t>
            </w:r>
          </w:p>
          <w:p w:rsidR="009F3E25" w:rsidRDefault="009F3E25" w:rsidP="009F3E25">
            <w:pPr>
              <w:spacing w:line="238" w:lineRule="auto"/>
              <w:ind w:left="1052" w:right="53" w:hanging="350"/>
              <w:jc w:val="both"/>
            </w:pPr>
            <w:r>
              <w:rPr>
                <w:rFonts w:ascii="Times New Roman" w:eastAsia="Times New Roman" w:hAnsi="Times New Roman" w:cs="Times New Roman"/>
                <w:sz w:val="23"/>
              </w:rPr>
              <w:t>-</w:t>
            </w:r>
            <w:r>
              <w:rPr>
                <w:rFonts w:ascii="Arial" w:eastAsia="Arial" w:hAnsi="Arial" w:cs="Arial"/>
                <w:sz w:val="23"/>
              </w:rPr>
              <w:t xml:space="preserve"> </w:t>
            </w:r>
            <w:proofErr w:type="spellStart"/>
            <w:r>
              <w:rPr>
                <w:rFonts w:ascii="Times New Roman" w:eastAsia="Times New Roman" w:hAnsi="Times New Roman" w:cs="Times New Roman"/>
                <w:sz w:val="23"/>
              </w:rPr>
              <w:t>Barić</w:t>
            </w:r>
            <w:proofErr w:type="spellEnd"/>
            <w:r>
              <w:rPr>
                <w:rFonts w:ascii="Times New Roman" w:eastAsia="Times New Roman" w:hAnsi="Times New Roman" w:cs="Times New Roman"/>
                <w:sz w:val="23"/>
              </w:rPr>
              <w:t xml:space="preserve"> 1980: </w:t>
            </w:r>
            <w:proofErr w:type="spellStart"/>
            <w:r>
              <w:rPr>
                <w:rFonts w:ascii="Times New Roman" w:eastAsia="Times New Roman" w:hAnsi="Times New Roman" w:cs="Times New Roman"/>
                <w:sz w:val="23"/>
              </w:rPr>
              <w:t>Eugenija</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Barić</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Imeničke</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složenice</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neprefiksalne</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i</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nesufiksalne</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tvorbe</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Znanstvena</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biblioteka</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hrvatskog</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filološkog</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društva</w:t>
            </w:r>
            <w:proofErr w:type="spellEnd"/>
            <w:r>
              <w:rPr>
                <w:rFonts w:ascii="Times New Roman" w:eastAsia="Times New Roman" w:hAnsi="Times New Roman" w:cs="Times New Roman"/>
                <w:sz w:val="23"/>
              </w:rPr>
              <w:t xml:space="preserve"> II, Zagreb:</w:t>
            </w:r>
            <w:r>
              <w:rPr>
                <w:rFonts w:ascii="Times New Roman" w:eastAsia="Times New Roman" w:hAnsi="Times New Roman" w:cs="Times New Roman"/>
                <w:color w:val="FF0000"/>
                <w:sz w:val="23"/>
              </w:rPr>
              <w:t xml:space="preserve"> </w:t>
            </w:r>
            <w:proofErr w:type="spellStart"/>
            <w:r>
              <w:rPr>
                <w:rFonts w:ascii="Times New Roman" w:eastAsia="Times New Roman" w:hAnsi="Times New Roman" w:cs="Times New Roman"/>
                <w:sz w:val="23"/>
              </w:rPr>
              <w:t>Sveučilišna</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naknada</w:t>
            </w:r>
            <w:proofErr w:type="spellEnd"/>
            <w:r>
              <w:rPr>
                <w:rFonts w:ascii="Times New Roman" w:eastAsia="Times New Roman" w:hAnsi="Times New Roman" w:cs="Times New Roman"/>
                <w:sz w:val="23"/>
              </w:rPr>
              <w:t xml:space="preserve"> liber. </w:t>
            </w:r>
          </w:p>
          <w:p w:rsidR="009F3E25" w:rsidRDefault="009F3E25" w:rsidP="009F3E25">
            <w:pPr>
              <w:ind w:left="1"/>
            </w:pPr>
            <w:r>
              <w:rPr>
                <w:rFonts w:ascii="Times New Roman" w:eastAsia="Times New Roman" w:hAnsi="Times New Roman" w:cs="Times New Roman"/>
                <w:sz w:val="21"/>
              </w:rPr>
              <w:t xml:space="preserve"> </w:t>
            </w:r>
          </w:p>
        </w:tc>
      </w:tr>
      <w:tr w:rsidR="009F3E25">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F3E25" w:rsidRDefault="009F3E25" w:rsidP="009F3E25">
            <w:r w:rsidRPr="00094DF8">
              <w:rPr>
                <w:rFonts w:ascii="Times New Roman" w:eastAsia="Times New Roman" w:hAnsi="Times New Roman" w:cs="Times New Roman"/>
                <w:b/>
                <w:sz w:val="21"/>
              </w:rPr>
              <w:t>Forms of knowledge testing and assessment</w:t>
            </w:r>
            <w:r>
              <w:rPr>
                <w:rFonts w:ascii="Times New Roman" w:eastAsia="Times New Roman" w:hAnsi="Times New Roman" w:cs="Times New Roman"/>
                <w:b/>
                <w:sz w:val="21"/>
              </w:rPr>
              <w:t>:</w:t>
            </w:r>
            <w:r>
              <w:rPr>
                <w:rFonts w:ascii="Times New Roman" w:eastAsia="Times New Roman" w:hAnsi="Times New Roman" w:cs="Times New Roman"/>
                <w:sz w:val="25"/>
              </w:rPr>
              <w:t xml:space="preserve"> </w:t>
            </w:r>
          </w:p>
        </w:tc>
      </w:tr>
      <w:tr w:rsidR="009F3E25">
        <w:trPr>
          <w:trHeight w:val="253"/>
        </w:trPr>
        <w:tc>
          <w:tcPr>
            <w:tcW w:w="9386" w:type="dxa"/>
            <w:gridSpan w:val="6"/>
            <w:tcBorders>
              <w:top w:val="single" w:sz="4" w:space="0" w:color="000000"/>
              <w:left w:val="single" w:sz="4" w:space="0" w:color="000000"/>
              <w:bottom w:val="single" w:sz="2" w:space="0" w:color="000000"/>
              <w:right w:val="single" w:sz="4" w:space="0" w:color="000000"/>
            </w:tcBorders>
          </w:tcPr>
          <w:p w:rsidR="009F3E25" w:rsidRDefault="009F3E25" w:rsidP="009F3E25">
            <w:pPr>
              <w:ind w:left="1"/>
            </w:pPr>
            <w:r w:rsidRPr="009F3E25">
              <w:rPr>
                <w:rFonts w:ascii="Times New Roman" w:eastAsia="Times New Roman" w:hAnsi="Times New Roman" w:cs="Times New Roman"/>
                <w:sz w:val="21"/>
              </w:rPr>
              <w:t>Class</w:t>
            </w:r>
            <w:r>
              <w:rPr>
                <w:rFonts w:ascii="Times New Roman" w:eastAsia="Times New Roman" w:hAnsi="Times New Roman" w:cs="Times New Roman"/>
                <w:sz w:val="21"/>
              </w:rPr>
              <w:t xml:space="preserve"> attendance, exam, </w:t>
            </w:r>
            <w:bookmarkStart w:id="0" w:name="_GoBack"/>
            <w:bookmarkEnd w:id="0"/>
            <w:r w:rsidR="00620E15">
              <w:rPr>
                <w:rFonts w:ascii="Times New Roman" w:eastAsia="Times New Roman" w:hAnsi="Times New Roman" w:cs="Times New Roman"/>
                <w:sz w:val="21"/>
              </w:rPr>
              <w:t>and seminar</w:t>
            </w:r>
            <w:r>
              <w:rPr>
                <w:rFonts w:ascii="Times New Roman" w:eastAsia="Times New Roman" w:hAnsi="Times New Roman" w:cs="Times New Roman"/>
                <w:sz w:val="21"/>
              </w:rPr>
              <w:t xml:space="preserve"> paper.</w:t>
            </w:r>
          </w:p>
        </w:tc>
      </w:tr>
      <w:tr w:rsidR="009F3E25" w:rsidTr="009F3E25">
        <w:trPr>
          <w:trHeight w:val="257"/>
        </w:trPr>
        <w:tc>
          <w:tcPr>
            <w:tcW w:w="2511" w:type="dxa"/>
            <w:tcBorders>
              <w:top w:val="single" w:sz="2" w:space="0" w:color="000000"/>
              <w:left w:val="single" w:sz="4" w:space="0" w:color="000000"/>
              <w:bottom w:val="single" w:sz="4" w:space="0" w:color="000000"/>
              <w:right w:val="single" w:sz="4" w:space="0" w:color="000000"/>
            </w:tcBorders>
          </w:tcPr>
          <w:p w:rsidR="009F3E25" w:rsidRDefault="009F3E25" w:rsidP="009F3E25">
            <w:pPr>
              <w:ind w:left="1"/>
            </w:pPr>
            <w:r>
              <w:rPr>
                <w:rFonts w:ascii="Times New Roman" w:eastAsia="Times New Roman" w:hAnsi="Times New Roman" w:cs="Times New Roman"/>
                <w:b/>
                <w:sz w:val="21"/>
              </w:rPr>
              <w:t xml:space="preserve"> </w:t>
            </w:r>
          </w:p>
        </w:tc>
        <w:tc>
          <w:tcPr>
            <w:tcW w:w="1094" w:type="dxa"/>
            <w:tcBorders>
              <w:top w:val="single" w:sz="2" w:space="0" w:color="000000"/>
              <w:left w:val="single" w:sz="4" w:space="0" w:color="000000"/>
              <w:bottom w:val="single" w:sz="4" w:space="0" w:color="000000"/>
              <w:right w:val="single" w:sz="4" w:space="0" w:color="000000"/>
            </w:tcBorders>
          </w:tcPr>
          <w:p w:rsidR="009F3E25" w:rsidRDefault="009F3E25" w:rsidP="009F3E25">
            <w:pPr>
              <w:ind w:left="5"/>
            </w:pPr>
            <w:r>
              <w:rPr>
                <w:rFonts w:ascii="Times New Roman" w:eastAsia="Times New Roman" w:hAnsi="Times New Roman" w:cs="Times New Roman"/>
                <w:sz w:val="20"/>
              </w:rPr>
              <w:t xml:space="preserve"> </w:t>
            </w:r>
          </w:p>
        </w:tc>
        <w:tc>
          <w:tcPr>
            <w:tcW w:w="1930" w:type="dxa"/>
            <w:tcBorders>
              <w:top w:val="single" w:sz="2"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1"/>
              </w:rPr>
              <w:t xml:space="preserve"> </w:t>
            </w:r>
          </w:p>
        </w:tc>
        <w:tc>
          <w:tcPr>
            <w:tcW w:w="1051" w:type="dxa"/>
            <w:tcBorders>
              <w:top w:val="single" w:sz="2"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0"/>
              </w:rPr>
              <w:t xml:space="preserve"> </w:t>
            </w:r>
          </w:p>
        </w:tc>
        <w:tc>
          <w:tcPr>
            <w:tcW w:w="1925" w:type="dxa"/>
            <w:tcBorders>
              <w:top w:val="single" w:sz="2"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1"/>
              </w:rPr>
              <w:t xml:space="preserve"> </w:t>
            </w:r>
          </w:p>
        </w:tc>
        <w:tc>
          <w:tcPr>
            <w:tcW w:w="875" w:type="dxa"/>
            <w:tcBorders>
              <w:top w:val="single" w:sz="2"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0"/>
              </w:rPr>
              <w:t xml:space="preserve"> </w:t>
            </w:r>
          </w:p>
        </w:tc>
      </w:tr>
      <w:tr w:rsidR="009F3E25" w:rsidTr="009F3E25">
        <w:trPr>
          <w:trHeight w:val="260"/>
        </w:trPr>
        <w:tc>
          <w:tcPr>
            <w:tcW w:w="2511" w:type="dxa"/>
            <w:tcBorders>
              <w:top w:val="single" w:sz="4" w:space="0" w:color="000000"/>
              <w:left w:val="single" w:sz="4" w:space="0" w:color="000000"/>
              <w:bottom w:val="single" w:sz="4" w:space="0" w:color="000000"/>
              <w:right w:val="single" w:sz="4" w:space="0" w:color="000000"/>
            </w:tcBorders>
          </w:tcPr>
          <w:p w:rsidR="009F3E25" w:rsidRDefault="009F3E25" w:rsidP="009F3E25">
            <w:pPr>
              <w:ind w:left="1"/>
            </w:pPr>
            <w:r>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F3E25" w:rsidRDefault="009F3E25" w:rsidP="009F3E25">
            <w:pPr>
              <w:ind w:left="5"/>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9F3E25" w:rsidRDefault="009F3E25" w:rsidP="009F3E25">
            <w:r>
              <w:rPr>
                <w:rFonts w:ascii="Times New Roman" w:eastAsia="Times New Roman" w:hAnsi="Times New Roman" w:cs="Times New Roman"/>
                <w:sz w:val="21"/>
              </w:rPr>
              <w:t xml:space="preserve"> </w:t>
            </w:r>
          </w:p>
        </w:tc>
      </w:tr>
      <w:tr w:rsidR="009F3E25">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F3E25" w:rsidRDefault="009F3E25" w:rsidP="009F3E25">
            <w:pPr>
              <w:ind w:left="1"/>
            </w:pPr>
            <w:r>
              <w:rPr>
                <w:rFonts w:ascii="Times New Roman" w:eastAsia="Times New Roman" w:hAnsi="Times New Roman" w:cs="Times New Roman"/>
                <w:b/>
                <w:sz w:val="21"/>
              </w:rPr>
              <w:t>Special indication for the subject</w:t>
            </w:r>
          </w:p>
        </w:tc>
      </w:tr>
      <w:tr w:rsidR="009F3E25">
        <w:trPr>
          <w:trHeight w:val="502"/>
        </w:trPr>
        <w:tc>
          <w:tcPr>
            <w:tcW w:w="9386" w:type="dxa"/>
            <w:gridSpan w:val="6"/>
            <w:tcBorders>
              <w:top w:val="single" w:sz="4" w:space="0" w:color="000000"/>
              <w:left w:val="single" w:sz="4" w:space="0" w:color="000000"/>
              <w:bottom w:val="single" w:sz="4" w:space="0" w:color="000000"/>
              <w:right w:val="single" w:sz="4" w:space="0" w:color="000000"/>
            </w:tcBorders>
          </w:tcPr>
          <w:p w:rsidR="009F3E25" w:rsidRDefault="009F3E25" w:rsidP="009F3E25">
            <w:pPr>
              <w:ind w:left="1" w:right="30"/>
            </w:pPr>
            <w:r w:rsidRPr="009F3E25">
              <w:rPr>
                <w:rFonts w:ascii="Times New Roman" w:eastAsia="Times New Roman" w:hAnsi="Times New Roman" w:cs="Times New Roman"/>
                <w:sz w:val="21"/>
              </w:rPr>
              <w:t xml:space="preserve">The subject </w:t>
            </w:r>
            <w:proofErr w:type="gramStart"/>
            <w:r w:rsidRPr="009F3E25">
              <w:rPr>
                <w:rFonts w:ascii="Times New Roman" w:eastAsia="Times New Roman" w:hAnsi="Times New Roman" w:cs="Times New Roman"/>
                <w:sz w:val="21"/>
              </w:rPr>
              <w:t>can be realized</w:t>
            </w:r>
            <w:proofErr w:type="gramEnd"/>
            <w:r w:rsidRPr="009F3E25">
              <w:rPr>
                <w:rFonts w:ascii="Times New Roman" w:eastAsia="Times New Roman" w:hAnsi="Times New Roman" w:cs="Times New Roman"/>
                <w:sz w:val="21"/>
              </w:rPr>
              <w:t xml:space="preserve"> through the corpus of the entire lexical system of the Serbian language, without singling out sacredness as a separate semantic category.</w:t>
            </w:r>
          </w:p>
        </w:tc>
      </w:tr>
      <w:tr w:rsidR="009F3E25">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F3E25" w:rsidRDefault="009F3E25" w:rsidP="009F3E25">
            <w:pPr>
              <w:ind w:left="1"/>
            </w:pPr>
            <w:r>
              <w:rPr>
                <w:rFonts w:ascii="Times New Roman" w:eastAsia="Times New Roman" w:hAnsi="Times New Roman" w:cs="Times New Roman"/>
                <w:b/>
                <w:sz w:val="21"/>
              </w:rPr>
              <w:t>Name and surname of the professor</w:t>
            </w:r>
            <w:r w:rsidRPr="009F3E25">
              <w:rPr>
                <w:rFonts w:ascii="Times New Roman" w:eastAsia="Times New Roman" w:hAnsi="Times New Roman" w:cs="Times New Roman"/>
                <w:b/>
                <w:sz w:val="21"/>
              </w:rPr>
              <w:t xml:space="preserve"> who prepared the data: prof. Dr. </w:t>
            </w:r>
            <w:proofErr w:type="spellStart"/>
            <w:r w:rsidRPr="009F3E25">
              <w:rPr>
                <w:rFonts w:ascii="Times New Roman" w:eastAsia="Times New Roman" w:hAnsi="Times New Roman" w:cs="Times New Roman"/>
                <w:b/>
                <w:sz w:val="21"/>
              </w:rPr>
              <w:t>Zorica</w:t>
            </w:r>
            <w:proofErr w:type="spellEnd"/>
            <w:r w:rsidRPr="009F3E25">
              <w:rPr>
                <w:rFonts w:ascii="Times New Roman" w:eastAsia="Times New Roman" w:hAnsi="Times New Roman" w:cs="Times New Roman"/>
                <w:b/>
                <w:sz w:val="21"/>
              </w:rPr>
              <w:t xml:space="preserve"> </w:t>
            </w:r>
            <w:proofErr w:type="spellStart"/>
            <w:r w:rsidRPr="009F3E25">
              <w:rPr>
                <w:rFonts w:ascii="Times New Roman" w:eastAsia="Times New Roman" w:hAnsi="Times New Roman" w:cs="Times New Roman"/>
                <w:b/>
                <w:sz w:val="21"/>
              </w:rPr>
              <w:t>Nikitović</w:t>
            </w:r>
            <w:proofErr w:type="spellEnd"/>
          </w:p>
        </w:tc>
      </w:tr>
    </w:tbl>
    <w:p w:rsidR="004612CB" w:rsidRDefault="003266B2">
      <w:pPr>
        <w:spacing w:after="112"/>
        <w:ind w:left="-38"/>
        <w:jc w:val="both"/>
      </w:pPr>
      <w:r>
        <w:rPr>
          <w:rFonts w:ascii="Times New Roman" w:eastAsia="Times New Roman" w:hAnsi="Times New Roman" w:cs="Times New Roman"/>
          <w:b/>
          <w:sz w:val="27"/>
        </w:rPr>
        <w:t xml:space="preserve"> </w:t>
      </w:r>
    </w:p>
    <w:p w:rsidR="004612CB" w:rsidRDefault="003266B2">
      <w:pPr>
        <w:spacing w:after="0"/>
        <w:ind w:left="-38"/>
        <w:jc w:val="both"/>
      </w:pPr>
      <w:r>
        <w:rPr>
          <w:rFonts w:ascii="Times New Roman" w:eastAsia="Times New Roman" w:hAnsi="Times New Roman" w:cs="Times New Roman"/>
          <w:sz w:val="25"/>
        </w:rPr>
        <w:t xml:space="preserve"> </w:t>
      </w:r>
    </w:p>
    <w:p w:rsidR="004612CB" w:rsidRDefault="003266B2">
      <w:pPr>
        <w:spacing w:after="0"/>
        <w:ind w:left="-38"/>
        <w:jc w:val="both"/>
      </w:pPr>
      <w:r>
        <w:rPr>
          <w:rFonts w:ascii="Times New Roman" w:eastAsia="Times New Roman" w:hAnsi="Times New Roman" w:cs="Times New Roman"/>
          <w:sz w:val="25"/>
        </w:rPr>
        <w:t xml:space="preserve"> </w:t>
      </w:r>
    </w:p>
    <w:p w:rsidR="004612CB" w:rsidRDefault="003266B2">
      <w:pPr>
        <w:spacing w:after="0"/>
        <w:ind w:left="-38"/>
        <w:jc w:val="both"/>
      </w:pPr>
      <w:r>
        <w:rPr>
          <w:rFonts w:ascii="Times New Roman" w:eastAsia="Times New Roman" w:hAnsi="Times New Roman" w:cs="Times New Roman"/>
          <w:sz w:val="25"/>
        </w:rPr>
        <w:t xml:space="preserve"> </w:t>
      </w:r>
    </w:p>
    <w:sectPr w:rsidR="004612C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698"/>
    <w:multiLevelType w:val="hybridMultilevel"/>
    <w:tmpl w:val="BECAF7D8"/>
    <w:lvl w:ilvl="0" w:tplc="045A52B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77C38"/>
    <w:multiLevelType w:val="hybridMultilevel"/>
    <w:tmpl w:val="99B895D2"/>
    <w:lvl w:ilvl="0" w:tplc="1E18035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CE65E2">
      <w:start w:val="1"/>
      <w:numFmt w:val="bullet"/>
      <w:lvlText w:val="o"/>
      <w:lvlJc w:val="left"/>
      <w:pPr>
        <w:ind w:left="1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54F048">
      <w:start w:val="1"/>
      <w:numFmt w:val="bullet"/>
      <w:lvlText w:val="▪"/>
      <w:lvlJc w:val="left"/>
      <w:pPr>
        <w:ind w:left="1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D271FC">
      <w:start w:val="1"/>
      <w:numFmt w:val="bullet"/>
      <w:lvlText w:val="•"/>
      <w:lvlJc w:val="left"/>
      <w:pPr>
        <w:ind w:left="2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B348740">
      <w:start w:val="1"/>
      <w:numFmt w:val="bullet"/>
      <w:lvlText w:val="o"/>
      <w:lvlJc w:val="left"/>
      <w:pPr>
        <w:ind w:left="3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D6A324E">
      <w:start w:val="1"/>
      <w:numFmt w:val="bullet"/>
      <w:lvlText w:val="▪"/>
      <w:lvlJc w:val="left"/>
      <w:pPr>
        <w:ind w:left="4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148AC2">
      <w:start w:val="1"/>
      <w:numFmt w:val="bullet"/>
      <w:lvlText w:val="•"/>
      <w:lvlJc w:val="left"/>
      <w:pPr>
        <w:ind w:left="4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F2994A">
      <w:start w:val="1"/>
      <w:numFmt w:val="bullet"/>
      <w:lvlText w:val="o"/>
      <w:lvlJc w:val="left"/>
      <w:pPr>
        <w:ind w:left="55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1EF884">
      <w:start w:val="1"/>
      <w:numFmt w:val="bullet"/>
      <w:lvlText w:val="▪"/>
      <w:lvlJc w:val="left"/>
      <w:pPr>
        <w:ind w:left="6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806EC6"/>
    <w:multiLevelType w:val="hybridMultilevel"/>
    <w:tmpl w:val="D0C24234"/>
    <w:lvl w:ilvl="0" w:tplc="4BE046A8">
      <w:start w:val="1"/>
      <w:numFmt w:val="bullet"/>
      <w:lvlText w:val="-"/>
      <w:lvlJc w:val="left"/>
      <w:pPr>
        <w:ind w:left="10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2CC6CF2">
      <w:start w:val="1"/>
      <w:numFmt w:val="bullet"/>
      <w:lvlText w:val="o"/>
      <w:lvlJc w:val="left"/>
      <w:pPr>
        <w:ind w:left="18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10430BC">
      <w:start w:val="1"/>
      <w:numFmt w:val="bullet"/>
      <w:lvlText w:val="▪"/>
      <w:lvlJc w:val="left"/>
      <w:pPr>
        <w:ind w:left="26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8EB578">
      <w:start w:val="1"/>
      <w:numFmt w:val="bullet"/>
      <w:lvlText w:val="•"/>
      <w:lvlJc w:val="left"/>
      <w:pPr>
        <w:ind w:left="33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9E17C0">
      <w:start w:val="1"/>
      <w:numFmt w:val="bullet"/>
      <w:lvlText w:val="o"/>
      <w:lvlJc w:val="left"/>
      <w:pPr>
        <w:ind w:left="40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685B9A">
      <w:start w:val="1"/>
      <w:numFmt w:val="bullet"/>
      <w:lvlText w:val="▪"/>
      <w:lvlJc w:val="left"/>
      <w:pPr>
        <w:ind w:left="47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D140332">
      <w:start w:val="1"/>
      <w:numFmt w:val="bullet"/>
      <w:lvlText w:val="•"/>
      <w:lvlJc w:val="left"/>
      <w:pPr>
        <w:ind w:left="54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6C077A">
      <w:start w:val="1"/>
      <w:numFmt w:val="bullet"/>
      <w:lvlText w:val="o"/>
      <w:lvlJc w:val="left"/>
      <w:pPr>
        <w:ind w:left="62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9FE42C4">
      <w:start w:val="1"/>
      <w:numFmt w:val="bullet"/>
      <w:lvlText w:val="▪"/>
      <w:lvlJc w:val="left"/>
      <w:pPr>
        <w:ind w:left="69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550B55"/>
    <w:multiLevelType w:val="hybridMultilevel"/>
    <w:tmpl w:val="E2080EAC"/>
    <w:lvl w:ilvl="0" w:tplc="612AEC88">
      <w:start w:val="1"/>
      <w:numFmt w:val="bullet"/>
      <w:lvlText w:val="-"/>
      <w:lvlJc w:val="left"/>
      <w:pPr>
        <w:ind w:left="3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13C1900">
      <w:start w:val="1"/>
      <w:numFmt w:val="bullet"/>
      <w:lvlText w:val="o"/>
      <w:lvlJc w:val="left"/>
      <w:pPr>
        <w:ind w:left="17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8A86A66">
      <w:start w:val="1"/>
      <w:numFmt w:val="bullet"/>
      <w:lvlText w:val="▪"/>
      <w:lvlJc w:val="left"/>
      <w:pPr>
        <w:ind w:left="24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DB07E2E">
      <w:start w:val="1"/>
      <w:numFmt w:val="bullet"/>
      <w:lvlText w:val="•"/>
      <w:lvlJc w:val="left"/>
      <w:pPr>
        <w:ind w:left="32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8485F54">
      <w:start w:val="1"/>
      <w:numFmt w:val="bullet"/>
      <w:lvlText w:val="o"/>
      <w:lvlJc w:val="left"/>
      <w:pPr>
        <w:ind w:left="39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9245156">
      <w:start w:val="1"/>
      <w:numFmt w:val="bullet"/>
      <w:lvlText w:val="▪"/>
      <w:lvlJc w:val="left"/>
      <w:pPr>
        <w:ind w:left="46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4D6966A">
      <w:start w:val="1"/>
      <w:numFmt w:val="bullet"/>
      <w:lvlText w:val="•"/>
      <w:lvlJc w:val="left"/>
      <w:pPr>
        <w:ind w:left="53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BA6C7CA">
      <w:start w:val="1"/>
      <w:numFmt w:val="bullet"/>
      <w:lvlText w:val="o"/>
      <w:lvlJc w:val="left"/>
      <w:pPr>
        <w:ind w:left="60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883E82">
      <w:start w:val="1"/>
      <w:numFmt w:val="bullet"/>
      <w:lvlText w:val="▪"/>
      <w:lvlJc w:val="left"/>
      <w:pPr>
        <w:ind w:left="68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5815D0B"/>
    <w:multiLevelType w:val="hybridMultilevel"/>
    <w:tmpl w:val="826276D8"/>
    <w:lvl w:ilvl="0" w:tplc="045A52B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B388C"/>
    <w:multiLevelType w:val="hybridMultilevel"/>
    <w:tmpl w:val="297A7044"/>
    <w:lvl w:ilvl="0" w:tplc="5498B5FC">
      <w:start w:val="1"/>
      <w:numFmt w:val="bullet"/>
      <w:lvlText w:val="-"/>
      <w:lvlJc w:val="left"/>
      <w:pPr>
        <w:ind w:left="10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3586E4C">
      <w:start w:val="1"/>
      <w:numFmt w:val="bullet"/>
      <w:lvlText w:val="o"/>
      <w:lvlJc w:val="left"/>
      <w:pPr>
        <w:ind w:left="18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9C625E">
      <w:start w:val="1"/>
      <w:numFmt w:val="bullet"/>
      <w:lvlText w:val="▪"/>
      <w:lvlJc w:val="left"/>
      <w:pPr>
        <w:ind w:left="26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5A7D98">
      <w:start w:val="1"/>
      <w:numFmt w:val="bullet"/>
      <w:lvlText w:val="•"/>
      <w:lvlJc w:val="left"/>
      <w:pPr>
        <w:ind w:left="33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1EB4F8">
      <w:start w:val="1"/>
      <w:numFmt w:val="bullet"/>
      <w:lvlText w:val="o"/>
      <w:lvlJc w:val="left"/>
      <w:pPr>
        <w:ind w:left="40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6CE1CC">
      <w:start w:val="1"/>
      <w:numFmt w:val="bullet"/>
      <w:lvlText w:val="▪"/>
      <w:lvlJc w:val="left"/>
      <w:pPr>
        <w:ind w:left="47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40AC0C">
      <w:start w:val="1"/>
      <w:numFmt w:val="bullet"/>
      <w:lvlText w:val="•"/>
      <w:lvlJc w:val="left"/>
      <w:pPr>
        <w:ind w:left="54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268D22">
      <w:start w:val="1"/>
      <w:numFmt w:val="bullet"/>
      <w:lvlText w:val="o"/>
      <w:lvlJc w:val="left"/>
      <w:pPr>
        <w:ind w:left="62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CDE70EC">
      <w:start w:val="1"/>
      <w:numFmt w:val="bullet"/>
      <w:lvlText w:val="▪"/>
      <w:lvlJc w:val="left"/>
      <w:pPr>
        <w:ind w:left="69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B"/>
    <w:rsid w:val="003266B2"/>
    <w:rsid w:val="003538B9"/>
    <w:rsid w:val="004612CB"/>
    <w:rsid w:val="004D15A6"/>
    <w:rsid w:val="00620E15"/>
    <w:rsid w:val="009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908C7-A467-490B-B0BD-95FBA933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D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8537">
      <w:bodyDiv w:val="1"/>
      <w:marLeft w:val="0"/>
      <w:marRight w:val="0"/>
      <w:marTop w:val="0"/>
      <w:marBottom w:val="0"/>
      <w:divBdr>
        <w:top w:val="none" w:sz="0" w:space="0" w:color="auto"/>
        <w:left w:val="none" w:sz="0" w:space="0" w:color="auto"/>
        <w:bottom w:val="none" w:sz="0" w:space="0" w:color="auto"/>
        <w:right w:val="none" w:sz="0" w:space="0" w:color="auto"/>
      </w:divBdr>
      <w:divsChild>
        <w:div w:id="530921470">
          <w:marLeft w:val="0"/>
          <w:marRight w:val="0"/>
          <w:marTop w:val="0"/>
          <w:marBottom w:val="0"/>
          <w:divBdr>
            <w:top w:val="single" w:sz="2" w:space="0" w:color="E5E7EB"/>
            <w:left w:val="single" w:sz="2" w:space="0" w:color="E5E7EB"/>
            <w:bottom w:val="single" w:sz="2" w:space="0" w:color="E5E7EB"/>
            <w:right w:val="single" w:sz="2" w:space="0" w:color="E5E7EB"/>
          </w:divBdr>
          <w:divsChild>
            <w:div w:id="52435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2024-02-15T08:20:00Z</dcterms:created>
  <dcterms:modified xsi:type="dcterms:W3CDTF">2024-02-19T07:41:00Z</dcterms:modified>
</cp:coreProperties>
</file>