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1122"/>
        <w:gridCol w:w="454"/>
        <w:gridCol w:w="94"/>
        <w:gridCol w:w="95"/>
        <w:gridCol w:w="395"/>
        <w:gridCol w:w="595"/>
        <w:gridCol w:w="6635"/>
      </w:tblGrid>
      <w:tr w:rsidR="009126BC">
        <w:trPr>
          <w:trHeight w:val="94"/>
        </w:trPr>
        <w:tc>
          <w:tcPr>
            <w:tcW w:w="634" w:type="dxa"/>
            <w:vMerge w:val="restart"/>
            <w:tcBorders>
              <w:top w:val="single" w:sz="4" w:space="0" w:color="000000"/>
              <w:left w:val="single" w:sz="4" w:space="0" w:color="000000"/>
              <w:bottom w:val="single" w:sz="4" w:space="0" w:color="000000"/>
              <w:right w:val="single" w:sz="2" w:space="0" w:color="FFFFFF"/>
            </w:tcBorders>
          </w:tcPr>
          <w:p w:rsidR="00BE04F8" w:rsidRDefault="007F4E52">
            <w:bookmarkStart w:id="0" w:name="_GoBack"/>
            <w:bookmarkEnd w:id="0"/>
            <w:r>
              <w:rPr>
                <w:noProof/>
              </w:rPr>
              <w:drawing>
                <wp:inline distT="0" distB="0" distL="0" distR="0" wp14:anchorId="3FA98B5F" wp14:editId="66548A42">
                  <wp:extent cx="707136" cy="70408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07136" cy="704088"/>
                          </a:xfrm>
                          <a:prstGeom prst="rect">
                            <a:avLst/>
                          </a:prstGeom>
                        </pic:spPr>
                      </pic:pic>
                    </a:graphicData>
                  </a:graphic>
                </wp:inline>
              </w:drawing>
            </w:r>
          </w:p>
        </w:tc>
        <w:tc>
          <w:tcPr>
            <w:tcW w:w="494" w:type="dxa"/>
            <w:vMerge w:val="restart"/>
            <w:tcBorders>
              <w:top w:val="single" w:sz="4" w:space="0" w:color="000000"/>
              <w:left w:val="single" w:sz="2" w:space="0" w:color="FFFFFF"/>
              <w:bottom w:val="single" w:sz="4" w:space="0" w:color="000000"/>
              <w:right w:val="nil"/>
            </w:tcBorders>
          </w:tcPr>
          <w:p w:rsidR="00BE04F8" w:rsidRDefault="00962E9A">
            <w:r>
              <w:rPr>
                <w:rFonts w:ascii="Times New Roman" w:eastAsia="Times New Roman" w:hAnsi="Times New Roman" w:cs="Times New Roman"/>
                <w:color w:val="0000FF"/>
                <w:sz w:val="10"/>
              </w:rPr>
              <w:t xml:space="preserve">          </w:t>
            </w:r>
          </w:p>
        </w:tc>
        <w:tc>
          <w:tcPr>
            <w:tcW w:w="101" w:type="dxa"/>
            <w:tcBorders>
              <w:top w:val="single" w:sz="4" w:space="0" w:color="000000"/>
              <w:left w:val="single" w:sz="2" w:space="0" w:color="0000FF"/>
              <w:bottom w:val="single" w:sz="2" w:space="0" w:color="0000FF"/>
              <w:right w:val="double" w:sz="2" w:space="0" w:color="0000FF"/>
            </w:tcBorders>
          </w:tcPr>
          <w:p w:rsidR="00BE04F8" w:rsidRDefault="00BE04F8"/>
        </w:tc>
        <w:tc>
          <w:tcPr>
            <w:tcW w:w="101" w:type="dxa"/>
            <w:tcBorders>
              <w:top w:val="single" w:sz="4" w:space="0" w:color="000000"/>
              <w:left w:val="double" w:sz="2" w:space="0" w:color="0000FF"/>
              <w:bottom w:val="single" w:sz="2" w:space="0" w:color="0000FF"/>
              <w:right w:val="single" w:sz="2" w:space="0" w:color="0000FF"/>
            </w:tcBorders>
          </w:tcPr>
          <w:p w:rsidR="00BE04F8" w:rsidRDefault="00BE04F8"/>
        </w:tc>
        <w:tc>
          <w:tcPr>
            <w:tcW w:w="418" w:type="dxa"/>
            <w:vMerge w:val="restart"/>
            <w:tcBorders>
              <w:top w:val="single" w:sz="4" w:space="0" w:color="000000"/>
              <w:left w:val="nil"/>
              <w:bottom w:val="single" w:sz="4" w:space="0" w:color="000000"/>
              <w:right w:val="single" w:sz="2" w:space="0" w:color="FFFFFF"/>
            </w:tcBorders>
          </w:tcPr>
          <w:p w:rsidR="00BE04F8" w:rsidRDefault="00962E9A">
            <w:pPr>
              <w:ind w:left="115"/>
              <w:jc w:val="center"/>
            </w:pPr>
            <w:r>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9126BC" w:rsidRDefault="009126BC" w:rsidP="009126BC">
            <w:pPr>
              <w:ind w:left="373"/>
            </w:pPr>
            <w:r>
              <w:rPr>
                <w:rFonts w:ascii="Times New Roman" w:eastAsia="Times New Roman" w:hAnsi="Times New Roman" w:cs="Times New Roman"/>
                <w:b/>
                <w:sz w:val="23"/>
              </w:rPr>
              <w:t>UNIVERSITY OF BANJA LUKA</w:t>
            </w:r>
          </w:p>
          <w:p w:rsidR="009126BC" w:rsidRDefault="009126BC" w:rsidP="009126BC">
            <w:pPr>
              <w:ind w:left="2372"/>
              <w:jc w:val="center"/>
            </w:pPr>
            <w:r>
              <w:rPr>
                <w:rFonts w:ascii="Times New Roman" w:eastAsia="Times New Roman" w:hAnsi="Times New Roman" w:cs="Times New Roman"/>
                <w:sz w:val="25"/>
              </w:rPr>
              <w:t xml:space="preserve"> </w:t>
            </w:r>
          </w:p>
          <w:p w:rsidR="00BE04F8" w:rsidRDefault="009126BC" w:rsidP="009126BC">
            <w:r>
              <w:rPr>
                <w:rFonts w:ascii="Times New Roman" w:eastAsia="Times New Roman" w:hAnsi="Times New Roman" w:cs="Times New Roman"/>
                <w:b/>
                <w:sz w:val="23"/>
              </w:rPr>
              <w:t xml:space="preserve">           FACULTY OF PHILOLOGY</w:t>
            </w:r>
            <w:r>
              <w:rPr>
                <w:rFonts w:ascii="Times New Roman" w:eastAsia="Times New Roman" w:hAnsi="Times New Roman" w:cs="Times New Roman"/>
                <w:sz w:val="23"/>
              </w:rPr>
              <w:t xml:space="preserve"> </w:t>
            </w:r>
            <w:r>
              <w:rPr>
                <w:rFonts w:ascii="Times New Roman" w:eastAsia="Times New Roman" w:hAnsi="Times New Roman" w:cs="Times New Roman"/>
                <w:sz w:val="25"/>
              </w:rPr>
              <w:t xml:space="preserve"> </w:t>
            </w:r>
          </w:p>
        </w:tc>
      </w:tr>
      <w:tr w:rsidR="009126BC">
        <w:trPr>
          <w:trHeight w:val="1016"/>
        </w:trPr>
        <w:tc>
          <w:tcPr>
            <w:tcW w:w="0" w:type="auto"/>
            <w:vMerge/>
            <w:tcBorders>
              <w:top w:val="nil"/>
              <w:left w:val="single" w:sz="4" w:space="0" w:color="000000"/>
              <w:bottom w:val="single" w:sz="4" w:space="0" w:color="000000"/>
              <w:right w:val="single" w:sz="2" w:space="0" w:color="FFFFFF"/>
            </w:tcBorders>
          </w:tcPr>
          <w:p w:rsidR="00BE04F8" w:rsidRDefault="00BE04F8"/>
        </w:tc>
        <w:tc>
          <w:tcPr>
            <w:tcW w:w="0" w:type="auto"/>
            <w:vMerge/>
            <w:tcBorders>
              <w:top w:val="nil"/>
              <w:left w:val="single" w:sz="2" w:space="0" w:color="FFFFFF"/>
              <w:bottom w:val="single" w:sz="4" w:space="0" w:color="000000"/>
              <w:right w:val="nil"/>
            </w:tcBorders>
          </w:tcPr>
          <w:p w:rsidR="00BE04F8" w:rsidRDefault="00BE04F8"/>
        </w:tc>
        <w:tc>
          <w:tcPr>
            <w:tcW w:w="101" w:type="dxa"/>
            <w:tcBorders>
              <w:top w:val="single" w:sz="2" w:space="0" w:color="0000FF"/>
              <w:left w:val="nil"/>
              <w:bottom w:val="single" w:sz="4" w:space="0" w:color="000000"/>
              <w:right w:val="nil"/>
            </w:tcBorders>
          </w:tcPr>
          <w:p w:rsidR="00BE04F8" w:rsidRDefault="00BE04F8">
            <w:pPr>
              <w:ind w:left="-494" w:right="-518"/>
            </w:pPr>
          </w:p>
        </w:tc>
        <w:tc>
          <w:tcPr>
            <w:tcW w:w="101" w:type="dxa"/>
            <w:tcBorders>
              <w:top w:val="single" w:sz="2" w:space="0" w:color="0000FF"/>
              <w:left w:val="nil"/>
              <w:bottom w:val="single" w:sz="4" w:space="0" w:color="000000"/>
              <w:right w:val="nil"/>
            </w:tcBorders>
          </w:tcPr>
          <w:p w:rsidR="00BE04F8" w:rsidRDefault="00BE04F8"/>
        </w:tc>
        <w:tc>
          <w:tcPr>
            <w:tcW w:w="0" w:type="auto"/>
            <w:vMerge/>
            <w:tcBorders>
              <w:top w:val="nil"/>
              <w:left w:val="nil"/>
              <w:bottom w:val="single" w:sz="4" w:space="0" w:color="000000"/>
              <w:right w:val="single" w:sz="2" w:space="0" w:color="FFFFFF"/>
            </w:tcBorders>
          </w:tcPr>
          <w:p w:rsidR="00BE04F8" w:rsidRDefault="00BE04F8"/>
        </w:tc>
        <w:tc>
          <w:tcPr>
            <w:tcW w:w="0" w:type="auto"/>
            <w:gridSpan w:val="2"/>
            <w:vMerge/>
            <w:tcBorders>
              <w:top w:val="nil"/>
              <w:left w:val="single" w:sz="2" w:space="0" w:color="FFFFFF"/>
              <w:bottom w:val="single" w:sz="4" w:space="0" w:color="000000"/>
              <w:right w:val="single" w:sz="4" w:space="0" w:color="000000"/>
            </w:tcBorders>
          </w:tcPr>
          <w:p w:rsidR="00BE04F8" w:rsidRDefault="00BE04F8"/>
        </w:tc>
      </w:tr>
      <w:tr w:rsidR="009126BC">
        <w:trPr>
          <w:trHeight w:val="281"/>
        </w:trPr>
        <w:tc>
          <w:tcPr>
            <w:tcW w:w="1229" w:type="dxa"/>
            <w:gridSpan w:val="3"/>
            <w:tcBorders>
              <w:top w:val="single" w:sz="4" w:space="0" w:color="000000"/>
              <w:left w:val="single" w:sz="4" w:space="0" w:color="000000"/>
              <w:bottom w:val="single" w:sz="4" w:space="0" w:color="000000"/>
              <w:right w:val="nil"/>
            </w:tcBorders>
          </w:tcPr>
          <w:p w:rsidR="00BE04F8" w:rsidRDefault="00BE04F8"/>
        </w:tc>
        <w:tc>
          <w:tcPr>
            <w:tcW w:w="8161" w:type="dxa"/>
            <w:gridSpan w:val="4"/>
            <w:tcBorders>
              <w:top w:val="single" w:sz="4" w:space="0" w:color="000000"/>
              <w:left w:val="nil"/>
              <w:bottom w:val="single" w:sz="4" w:space="0" w:color="000000"/>
              <w:right w:val="single" w:sz="4" w:space="0" w:color="000000"/>
            </w:tcBorders>
          </w:tcPr>
          <w:p w:rsidR="00BE04F8" w:rsidRDefault="009126BC" w:rsidP="009126BC">
            <w:pPr>
              <w:ind w:left="1920"/>
            </w:pPr>
            <w:r>
              <w:rPr>
                <w:rFonts w:ascii="Times New Roman" w:eastAsia="Times New Roman" w:hAnsi="Times New Roman" w:cs="Times New Roman"/>
                <w:b/>
                <w:sz w:val="23"/>
              </w:rPr>
              <w:t>Doctoral academic studies</w:t>
            </w:r>
            <w:r w:rsidR="00962E9A">
              <w:rPr>
                <w:rFonts w:ascii="Times New Roman" w:eastAsia="Times New Roman" w:hAnsi="Times New Roman" w:cs="Times New Roman"/>
                <w:b/>
                <w:sz w:val="23"/>
              </w:rPr>
              <w:t xml:space="preserve"> </w:t>
            </w:r>
          </w:p>
        </w:tc>
      </w:tr>
      <w:tr w:rsidR="009126BC">
        <w:trPr>
          <w:trHeight w:val="274"/>
        </w:trPr>
        <w:tc>
          <w:tcPr>
            <w:tcW w:w="1229" w:type="dxa"/>
            <w:gridSpan w:val="3"/>
            <w:tcBorders>
              <w:top w:val="single" w:sz="4" w:space="0" w:color="000000"/>
              <w:left w:val="single" w:sz="4" w:space="0" w:color="000000"/>
              <w:bottom w:val="single" w:sz="4" w:space="0" w:color="000000"/>
              <w:right w:val="nil"/>
            </w:tcBorders>
          </w:tcPr>
          <w:p w:rsidR="00BE04F8" w:rsidRDefault="009126BC" w:rsidP="009126BC">
            <w:pPr>
              <w:ind w:left="106"/>
              <w:jc w:val="both"/>
            </w:pPr>
            <w:r>
              <w:rPr>
                <w:rFonts w:ascii="Times New Roman" w:eastAsia="Times New Roman" w:hAnsi="Times New Roman" w:cs="Times New Roman"/>
                <w:b/>
                <w:sz w:val="23"/>
              </w:rPr>
              <w:t>Study program:</w:t>
            </w:r>
          </w:p>
        </w:tc>
        <w:tc>
          <w:tcPr>
            <w:tcW w:w="1158" w:type="dxa"/>
            <w:gridSpan w:val="3"/>
            <w:tcBorders>
              <w:top w:val="single" w:sz="4" w:space="0" w:color="000000"/>
              <w:left w:val="nil"/>
              <w:bottom w:val="single" w:sz="4" w:space="0" w:color="000000"/>
              <w:right w:val="single" w:sz="4" w:space="0" w:color="000000"/>
            </w:tcBorders>
          </w:tcPr>
          <w:p w:rsidR="00BE04F8" w:rsidRDefault="00962E9A">
            <w:pPr>
              <w:ind w:left="-15"/>
              <w:jc w:val="both"/>
            </w:pPr>
            <w:r>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BE04F8" w:rsidRDefault="009126BC" w:rsidP="009126BC">
            <w:pPr>
              <w:ind w:left="100"/>
            </w:pPr>
            <w:r>
              <w:rPr>
                <w:rFonts w:ascii="Times New Roman" w:eastAsia="Times New Roman" w:hAnsi="Times New Roman" w:cs="Times New Roman"/>
                <w:b/>
                <w:sz w:val="23"/>
              </w:rPr>
              <w:t>SERBIAN LANGUAGE AND LITERATURE</w:t>
            </w:r>
            <w:r w:rsidR="00962E9A">
              <w:rPr>
                <w:rFonts w:ascii="Times New Roman" w:eastAsia="Times New Roman" w:hAnsi="Times New Roman" w:cs="Times New Roman"/>
                <w:b/>
                <w:sz w:val="23"/>
              </w:rPr>
              <w:t xml:space="preserve"> </w:t>
            </w:r>
          </w:p>
        </w:tc>
      </w:tr>
    </w:tbl>
    <w:p w:rsidR="00BE04F8" w:rsidRDefault="00962E9A">
      <w:pPr>
        <w:spacing w:after="0"/>
        <w:ind w:left="312"/>
        <w:jc w:val="both"/>
      </w:pPr>
      <w:r>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BE04F8">
        <w:trPr>
          <w:trHeight w:val="252"/>
        </w:trPr>
        <w:tc>
          <w:tcPr>
            <w:tcW w:w="1796" w:type="dxa"/>
            <w:tcBorders>
              <w:top w:val="single" w:sz="4" w:space="0" w:color="000000"/>
              <w:left w:val="single" w:sz="4" w:space="0" w:color="000000"/>
              <w:bottom w:val="single" w:sz="4" w:space="0" w:color="000000"/>
              <w:right w:val="single" w:sz="4" w:space="0" w:color="000000"/>
            </w:tcBorders>
          </w:tcPr>
          <w:p w:rsidR="00BE04F8" w:rsidRDefault="009126BC">
            <w:pPr>
              <w:jc w:val="both"/>
            </w:pPr>
            <w:r>
              <w:rPr>
                <w:rFonts w:ascii="Times New Roman" w:eastAsia="Times New Roman" w:hAnsi="Times New Roman" w:cs="Times New Roman"/>
                <w:b/>
                <w:sz w:val="21"/>
              </w:rPr>
              <w:t>Subject</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BE04F8" w:rsidRDefault="009126BC" w:rsidP="009126BC">
            <w:pPr>
              <w:ind w:left="4"/>
            </w:pPr>
            <w:r>
              <w:rPr>
                <w:rFonts w:ascii="Times New Roman" w:eastAsia="Times New Roman" w:hAnsi="Times New Roman" w:cs="Times New Roman"/>
                <w:b/>
                <w:sz w:val="21"/>
              </w:rPr>
              <w:t xml:space="preserve">DIACHRONIC SEMANTICS AND LEXICOLOGY </w:t>
            </w:r>
          </w:p>
        </w:tc>
      </w:tr>
      <w:tr w:rsidR="009126BC" w:rsidTr="00003077">
        <w:trPr>
          <w:trHeight w:val="500"/>
        </w:trPr>
        <w:tc>
          <w:tcPr>
            <w:tcW w:w="1796" w:type="dxa"/>
            <w:tcBorders>
              <w:top w:val="single" w:sz="4" w:space="0" w:color="000000"/>
              <w:left w:val="single" w:sz="4" w:space="0" w:color="000000"/>
              <w:bottom w:val="single" w:sz="4" w:space="0" w:color="000000"/>
              <w:right w:val="single" w:sz="4" w:space="0" w:color="000000"/>
            </w:tcBorders>
          </w:tcPr>
          <w:p w:rsidR="009126BC" w:rsidRDefault="009126BC" w:rsidP="009126BC">
            <w:pPr>
              <w:rPr>
                <w:rFonts w:ascii="Times New Roman" w:eastAsia="Times New Roman" w:hAnsi="Times New Roman" w:cs="Times New Roman"/>
                <w:b/>
                <w:sz w:val="21"/>
              </w:rPr>
            </w:pPr>
          </w:p>
          <w:p w:rsidR="009126BC" w:rsidRDefault="009126BC" w:rsidP="009126BC">
            <w:r>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vAlign w:val="center"/>
          </w:tcPr>
          <w:p w:rsidR="009126BC" w:rsidRDefault="009126BC" w:rsidP="009126BC">
            <w:pPr>
              <w:ind w:left="16"/>
              <w:jc w:val="both"/>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9126BC" w:rsidRDefault="009126BC" w:rsidP="009126BC">
            <w:pPr>
              <w:ind w:right="49"/>
              <w:jc w:val="center"/>
            </w:pPr>
            <w:r>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9126BC" w:rsidRDefault="009126BC" w:rsidP="009126BC">
            <w:pPr>
              <w:ind w:left="102"/>
            </w:pPr>
            <w:r>
              <w:rPr>
                <w:rFonts w:ascii="Times New Roman" w:eastAsia="Times New Roman" w:hAnsi="Times New Roman" w:cs="Times New Roman"/>
                <w:b/>
                <w:sz w:val="21"/>
              </w:rPr>
              <w:t>Classes fund</w:t>
            </w:r>
            <w:r>
              <w:rPr>
                <w:rFonts w:ascii="Times New Roman" w:eastAsia="Times New Roman" w:hAnsi="Times New Roman" w:cs="Times New Roman"/>
                <w:sz w:val="25"/>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9126BC" w:rsidRDefault="009126BC" w:rsidP="009126BC">
            <w:pPr>
              <w:ind w:right="54"/>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p>
        </w:tc>
      </w:tr>
      <w:tr w:rsidR="00BE04F8">
        <w:trPr>
          <w:trHeight w:val="260"/>
        </w:trPr>
        <w:tc>
          <w:tcPr>
            <w:tcW w:w="1796" w:type="dxa"/>
            <w:tcBorders>
              <w:top w:val="single" w:sz="4" w:space="0" w:color="000000"/>
              <w:left w:val="single" w:sz="4" w:space="0" w:color="000000"/>
              <w:bottom w:val="single" w:sz="4" w:space="0" w:color="000000"/>
              <w:right w:val="single" w:sz="4" w:space="0" w:color="000000"/>
            </w:tcBorders>
          </w:tcPr>
          <w:p w:rsidR="00BE04F8" w:rsidRDefault="00962E9A">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BE04F8" w:rsidRDefault="009126BC">
            <w:pPr>
              <w:ind w:right="18"/>
              <w:jc w:val="center"/>
            </w:pPr>
            <w:r>
              <w:rPr>
                <w:rFonts w:ascii="Times New Roman" w:eastAsia="Times New Roman" w:hAnsi="Times New Roman" w:cs="Times New Roman"/>
                <w:sz w:val="21"/>
              </w:rPr>
              <w:t>elective</w:t>
            </w:r>
            <w:r w:rsidR="00962E9A">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BE04F8" w:rsidRDefault="00962E9A">
            <w:pPr>
              <w:ind w:left="37"/>
              <w:jc w:val="center"/>
            </w:pPr>
            <w:r>
              <w:rPr>
                <w:rFonts w:ascii="Times New Roman" w:eastAsia="Times New Roman" w:hAnsi="Times New Roman" w:cs="Times New Roman"/>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BE04F8" w:rsidRDefault="00962E9A">
            <w:pPr>
              <w:ind w:left="42"/>
              <w:jc w:val="center"/>
            </w:pPr>
            <w:r>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BE04F8" w:rsidRDefault="00962E9A">
            <w:pPr>
              <w:ind w:left="36"/>
              <w:jc w:val="center"/>
            </w:pPr>
            <w:r>
              <w:rPr>
                <w:rFonts w:ascii="Times New Roman" w:eastAsia="Times New Roman" w:hAnsi="Times New Roman" w:cs="Times New Roman"/>
                <w:sz w:val="21"/>
              </w:rPr>
              <w:t xml:space="preserve"> </w:t>
            </w:r>
          </w:p>
        </w:tc>
      </w:tr>
      <w:tr w:rsidR="00BE04F8">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BE04F8" w:rsidRDefault="009126BC">
            <w:r>
              <w:rPr>
                <w:rFonts w:ascii="Times New Roman" w:eastAsia="Times New Roman" w:hAnsi="Times New Roman" w:cs="Times New Roman"/>
                <w:b/>
                <w:sz w:val="21"/>
              </w:rPr>
              <w:t>Professors:</w:t>
            </w:r>
          </w:p>
        </w:tc>
        <w:tc>
          <w:tcPr>
            <w:tcW w:w="7590" w:type="dxa"/>
            <w:gridSpan w:val="4"/>
            <w:tcBorders>
              <w:top w:val="single" w:sz="4" w:space="0" w:color="000000"/>
              <w:left w:val="single" w:sz="4" w:space="0" w:color="000000"/>
              <w:bottom w:val="single" w:sz="4" w:space="0" w:color="000000"/>
              <w:right w:val="single" w:sz="4" w:space="0" w:color="000000"/>
            </w:tcBorders>
          </w:tcPr>
          <w:p w:rsidR="00BE04F8" w:rsidRDefault="009126BC">
            <w:pPr>
              <w:ind w:left="4"/>
            </w:pPr>
            <w:r w:rsidRPr="009126BC">
              <w:rPr>
                <w:rFonts w:ascii="Times New Roman" w:eastAsia="Times New Roman" w:hAnsi="Times New Roman" w:cs="Times New Roman"/>
                <w:sz w:val="21"/>
              </w:rPr>
              <w:t xml:space="preserve">Prof. Dr. </w:t>
            </w:r>
            <w:proofErr w:type="spellStart"/>
            <w:r w:rsidRPr="009126BC">
              <w:rPr>
                <w:rFonts w:ascii="Times New Roman" w:eastAsia="Times New Roman" w:hAnsi="Times New Roman" w:cs="Times New Roman"/>
                <w:sz w:val="21"/>
              </w:rPr>
              <w:t>Zorica</w:t>
            </w:r>
            <w:proofErr w:type="spellEnd"/>
            <w:r w:rsidRPr="009126BC">
              <w:rPr>
                <w:rFonts w:ascii="Times New Roman" w:eastAsia="Times New Roman" w:hAnsi="Times New Roman" w:cs="Times New Roman"/>
                <w:sz w:val="21"/>
              </w:rPr>
              <w:t xml:space="preserve"> </w:t>
            </w:r>
            <w:proofErr w:type="spellStart"/>
            <w:r w:rsidRPr="009126BC">
              <w:rPr>
                <w:rFonts w:ascii="Times New Roman" w:eastAsia="Times New Roman" w:hAnsi="Times New Roman" w:cs="Times New Roman"/>
                <w:sz w:val="21"/>
              </w:rPr>
              <w:t>Nikitović</w:t>
            </w:r>
            <w:proofErr w:type="spellEnd"/>
          </w:p>
        </w:tc>
      </w:tr>
    </w:tbl>
    <w:p w:rsidR="00BE04F8" w:rsidRDefault="00962E9A">
      <w:pPr>
        <w:spacing w:after="0"/>
        <w:ind w:left="312"/>
        <w:jc w:val="both"/>
      </w:pPr>
      <w:r>
        <w:rPr>
          <w:rFonts w:ascii="Times New Roman" w:eastAsia="Times New Roman" w:hAnsi="Times New Roman" w:cs="Times New Roman"/>
          <w:sz w:val="21"/>
        </w:rPr>
        <w:t xml:space="preserve"> </w:t>
      </w:r>
    </w:p>
    <w:tbl>
      <w:tblPr>
        <w:tblStyle w:val="TableGrid"/>
        <w:tblW w:w="9386" w:type="dxa"/>
        <w:tblInd w:w="210" w:type="dxa"/>
        <w:tblCellMar>
          <w:top w:w="46" w:type="dxa"/>
          <w:left w:w="102" w:type="dxa"/>
          <w:right w:w="212" w:type="dxa"/>
        </w:tblCellMar>
        <w:tblLook w:val="04A0" w:firstRow="1" w:lastRow="0" w:firstColumn="1" w:lastColumn="0" w:noHBand="0" w:noVBand="1"/>
      </w:tblPr>
      <w:tblGrid>
        <w:gridCol w:w="9386"/>
      </w:tblGrid>
      <w:tr w:rsidR="009126BC">
        <w:trPr>
          <w:trHeight w:val="254"/>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9126BC" w:rsidRDefault="009126BC" w:rsidP="009126BC">
            <w:r>
              <w:rPr>
                <w:rFonts w:ascii="Times New Roman" w:eastAsia="Times New Roman" w:hAnsi="Times New Roman" w:cs="Times New Roman"/>
                <w:b/>
                <w:sz w:val="21"/>
              </w:rPr>
              <w:t>Conditioned by other subjects</w:t>
            </w:r>
          </w:p>
        </w:tc>
      </w:tr>
      <w:tr w:rsidR="00BE04F8">
        <w:trPr>
          <w:trHeight w:val="545"/>
        </w:trPr>
        <w:tc>
          <w:tcPr>
            <w:tcW w:w="9386" w:type="dxa"/>
            <w:tcBorders>
              <w:top w:val="single" w:sz="4" w:space="0" w:color="000000"/>
              <w:left w:val="single" w:sz="4" w:space="0" w:color="000000"/>
              <w:bottom w:val="single" w:sz="4" w:space="0" w:color="000000"/>
              <w:right w:val="single" w:sz="4" w:space="0" w:color="000000"/>
            </w:tcBorders>
          </w:tcPr>
          <w:p w:rsidR="00BE04F8" w:rsidRDefault="009126BC">
            <w:pPr>
              <w:jc w:val="both"/>
            </w:pPr>
            <w:r w:rsidRPr="009126BC">
              <w:rPr>
                <w:rFonts w:ascii="Times New Roman" w:eastAsia="Times New Roman" w:hAnsi="Times New Roman" w:cs="Times New Roman"/>
                <w:sz w:val="23"/>
              </w:rPr>
              <w:t>Enrolled in doctoral academic studies, Language Science module. Completed master's studies in Serbian or Russian language and literature.</w:t>
            </w:r>
          </w:p>
        </w:tc>
      </w:tr>
      <w:tr w:rsidR="009126BC">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9126BC" w:rsidRDefault="009126BC" w:rsidP="009126BC">
            <w:r>
              <w:rPr>
                <w:rFonts w:ascii="Times New Roman" w:eastAsia="Times New Roman" w:hAnsi="Times New Roman" w:cs="Times New Roman"/>
                <w:b/>
                <w:sz w:val="21"/>
              </w:rPr>
              <w:t>Learning outcomes (acquired knowledge):</w:t>
            </w:r>
          </w:p>
        </w:tc>
      </w:tr>
      <w:tr w:rsidR="00BE04F8">
        <w:trPr>
          <w:trHeight w:val="2945"/>
        </w:trPr>
        <w:tc>
          <w:tcPr>
            <w:tcW w:w="9386" w:type="dxa"/>
            <w:tcBorders>
              <w:top w:val="single" w:sz="4" w:space="0" w:color="000000"/>
              <w:left w:val="single" w:sz="4" w:space="0" w:color="000000"/>
              <w:bottom w:val="single" w:sz="4" w:space="0" w:color="000000"/>
              <w:right w:val="single" w:sz="4" w:space="0" w:color="000000"/>
            </w:tcBorders>
          </w:tcPr>
          <w:p w:rsidR="00BE04F8" w:rsidRPr="009126BC" w:rsidRDefault="009126BC" w:rsidP="009126BC">
            <w:pPr>
              <w:jc w:val="both"/>
            </w:pPr>
            <w:proofErr w:type="gramStart"/>
            <w:r w:rsidRPr="009126BC">
              <w:rPr>
                <w:rFonts w:ascii="Times New Roman" w:eastAsia="Times New Roman" w:hAnsi="Times New Roman" w:cs="Times New Roman"/>
                <w:sz w:val="23"/>
              </w:rPr>
              <w:t>Acquisition of theoretical knowledge about lexical-semantic categories, diachronic semantics, its conceptual-categorical apparatus and methodology, as well as changes in meaning during the historical development of language; mastering the art of understanding the meaning of the Indo-European, Proto-Slavic and Church Slavic lexical layers, as well as the skills of competent independent research and teaching presentation of lexical and semantic content of the Serbian language.</w:t>
            </w:r>
            <w:proofErr w:type="gramEnd"/>
            <w:r w:rsidRPr="009126BC">
              <w:rPr>
                <w:rFonts w:ascii="Times New Roman" w:eastAsia="Times New Roman" w:hAnsi="Times New Roman" w:cs="Times New Roman"/>
                <w:sz w:val="23"/>
              </w:rPr>
              <w:t xml:space="preserve"> Supplementing knowledge from other linguistic disciplines, but from a diachronic aspect, creates conditions for comprehensive monitoring of language phenomena from the point of view of internal laws of language development, and linking the history of languages with the history of peoples.</w:t>
            </w:r>
          </w:p>
        </w:tc>
      </w:tr>
      <w:tr w:rsidR="009126BC">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9126BC" w:rsidRDefault="009126BC" w:rsidP="009126BC">
            <w:r>
              <w:rPr>
                <w:rFonts w:ascii="Times New Roman" w:eastAsia="Times New Roman" w:hAnsi="Times New Roman" w:cs="Times New Roman"/>
                <w:b/>
                <w:sz w:val="21"/>
              </w:rPr>
              <w:t>Learning outcomes (acquired knowledge):</w:t>
            </w:r>
          </w:p>
        </w:tc>
      </w:tr>
      <w:tr w:rsidR="009126BC">
        <w:trPr>
          <w:trHeight w:val="2135"/>
        </w:trPr>
        <w:tc>
          <w:tcPr>
            <w:tcW w:w="9386" w:type="dxa"/>
            <w:tcBorders>
              <w:top w:val="single" w:sz="4" w:space="0" w:color="000000"/>
              <w:left w:val="single" w:sz="4" w:space="0" w:color="000000"/>
              <w:bottom w:val="single" w:sz="2" w:space="0" w:color="000000"/>
              <w:right w:val="single" w:sz="4" w:space="0" w:color="000000"/>
            </w:tcBorders>
          </w:tcPr>
          <w:p w:rsidR="009126BC" w:rsidRDefault="009126BC" w:rsidP="009126BC">
            <w:pPr>
              <w:ind w:right="62"/>
              <w:jc w:val="both"/>
              <w:rPr>
                <w:rFonts w:ascii="Times New Roman" w:eastAsia="Times New Roman" w:hAnsi="Times New Roman" w:cs="Times New Roman"/>
                <w:sz w:val="21"/>
              </w:rPr>
            </w:pPr>
          </w:p>
          <w:p w:rsidR="009126BC" w:rsidRDefault="009126BC" w:rsidP="009126BC">
            <w:pPr>
              <w:ind w:right="62"/>
              <w:jc w:val="both"/>
            </w:pPr>
            <w:r w:rsidRPr="009126BC">
              <w:rPr>
                <w:rFonts w:ascii="Times New Roman" w:eastAsia="Times New Roman" w:hAnsi="Times New Roman" w:cs="Times New Roman"/>
                <w:sz w:val="21"/>
              </w:rPr>
              <w:t>Possession of developed theoretical-methodological academic competences in the domain of historical semantics and lexicology, as well as accompanying application abilities of direct observation and analysis of relevant phenomena and elements on concrete linguistic material with the help of objective research methods and techniques. Spreading knowledge about language as a spiritual and cultural-historical phenomenon based on the content and messages of old monuments, that is, looking at language not only as a set of linguistic facts, but also from the point of view of the historical, national and spiritual identity of the people.</w:t>
            </w:r>
          </w:p>
        </w:tc>
      </w:tr>
      <w:tr w:rsidR="009126BC">
        <w:trPr>
          <w:trHeight w:val="255"/>
        </w:trPr>
        <w:tc>
          <w:tcPr>
            <w:tcW w:w="9386" w:type="dxa"/>
            <w:tcBorders>
              <w:top w:val="single" w:sz="2" w:space="0" w:color="000000"/>
              <w:left w:val="single" w:sz="4" w:space="0" w:color="000000"/>
              <w:bottom w:val="single" w:sz="4" w:space="0" w:color="000000"/>
              <w:right w:val="single" w:sz="4" w:space="0" w:color="000000"/>
            </w:tcBorders>
            <w:shd w:val="clear" w:color="auto" w:fill="B3B3B3"/>
          </w:tcPr>
          <w:p w:rsidR="009126BC" w:rsidRDefault="009126BC" w:rsidP="009126BC">
            <w:r>
              <w:rPr>
                <w:rFonts w:ascii="Times New Roman" w:eastAsia="Times New Roman" w:hAnsi="Times New Roman" w:cs="Times New Roman"/>
                <w:b/>
                <w:sz w:val="21"/>
              </w:rPr>
              <w:t>Subject content:</w:t>
            </w:r>
          </w:p>
        </w:tc>
      </w:tr>
      <w:tr w:rsidR="009126BC">
        <w:trPr>
          <w:trHeight w:val="2406"/>
        </w:trPr>
        <w:tc>
          <w:tcPr>
            <w:tcW w:w="9386" w:type="dxa"/>
            <w:tcBorders>
              <w:top w:val="single" w:sz="4" w:space="0" w:color="000000"/>
              <w:left w:val="single" w:sz="4" w:space="0" w:color="000000"/>
              <w:bottom w:val="single" w:sz="4" w:space="0" w:color="000000"/>
              <w:right w:val="single" w:sz="4" w:space="0" w:color="000000"/>
            </w:tcBorders>
          </w:tcPr>
          <w:p w:rsidR="009126BC" w:rsidRPr="0006112A" w:rsidRDefault="009126BC" w:rsidP="0006112A">
            <w:pPr>
              <w:pStyle w:val="ListParagraph"/>
              <w:numPr>
                <w:ilvl w:val="0"/>
                <w:numId w:val="4"/>
              </w:numPr>
              <w:spacing w:after="14"/>
              <w:rPr>
                <w:rFonts w:ascii="Times New Roman" w:eastAsia="Times New Roman" w:hAnsi="Times New Roman" w:cs="Times New Roman"/>
                <w:sz w:val="21"/>
              </w:rPr>
            </w:pPr>
            <w:r w:rsidRPr="0006112A">
              <w:rPr>
                <w:rFonts w:ascii="Times New Roman" w:eastAsia="Times New Roman" w:hAnsi="Times New Roman" w:cs="Times New Roman"/>
                <w:sz w:val="21"/>
              </w:rPr>
              <w:t>Semantics as a linguistic discipline. Object and subject of semantics.</w:t>
            </w:r>
          </w:p>
          <w:p w:rsidR="009126BC" w:rsidRPr="0006112A" w:rsidRDefault="009126BC" w:rsidP="0006112A">
            <w:pPr>
              <w:pStyle w:val="ListParagraph"/>
              <w:numPr>
                <w:ilvl w:val="0"/>
                <w:numId w:val="4"/>
              </w:numPr>
              <w:spacing w:after="14"/>
              <w:rPr>
                <w:rFonts w:ascii="Times New Roman" w:eastAsia="Times New Roman" w:hAnsi="Times New Roman" w:cs="Times New Roman"/>
                <w:sz w:val="21"/>
              </w:rPr>
            </w:pPr>
            <w:r w:rsidRPr="0006112A">
              <w:rPr>
                <w:rFonts w:ascii="Times New Roman" w:eastAsia="Times New Roman" w:hAnsi="Times New Roman" w:cs="Times New Roman"/>
                <w:sz w:val="21"/>
              </w:rPr>
              <w:t>Lexical semantics. Lexical-semantic categories.</w:t>
            </w:r>
          </w:p>
          <w:p w:rsidR="009126BC" w:rsidRPr="0006112A" w:rsidRDefault="009126BC" w:rsidP="0006112A">
            <w:pPr>
              <w:pStyle w:val="ListParagraph"/>
              <w:numPr>
                <w:ilvl w:val="0"/>
                <w:numId w:val="4"/>
              </w:numPr>
              <w:spacing w:after="14"/>
              <w:rPr>
                <w:rFonts w:ascii="Times New Roman" w:eastAsia="Times New Roman" w:hAnsi="Times New Roman" w:cs="Times New Roman"/>
                <w:sz w:val="21"/>
              </w:rPr>
            </w:pPr>
            <w:r w:rsidRPr="0006112A">
              <w:rPr>
                <w:rFonts w:ascii="Times New Roman" w:eastAsia="Times New Roman" w:hAnsi="Times New Roman" w:cs="Times New Roman"/>
                <w:sz w:val="21"/>
              </w:rPr>
              <w:t>Theoretical foundations of diachronic semantics.</w:t>
            </w:r>
          </w:p>
          <w:p w:rsidR="009126BC" w:rsidRPr="0006112A" w:rsidRDefault="009126BC" w:rsidP="0006112A">
            <w:pPr>
              <w:pStyle w:val="ListParagraph"/>
              <w:numPr>
                <w:ilvl w:val="0"/>
                <w:numId w:val="4"/>
              </w:numPr>
              <w:spacing w:after="14"/>
              <w:rPr>
                <w:rFonts w:ascii="Times New Roman" w:eastAsia="Times New Roman" w:hAnsi="Times New Roman" w:cs="Times New Roman"/>
                <w:sz w:val="21"/>
              </w:rPr>
            </w:pPr>
            <w:r w:rsidRPr="0006112A">
              <w:rPr>
                <w:rFonts w:ascii="Times New Roman" w:eastAsia="Times New Roman" w:hAnsi="Times New Roman" w:cs="Times New Roman"/>
                <w:sz w:val="21"/>
              </w:rPr>
              <w:t>Possibility of reconstruction in diachronic semantics.</w:t>
            </w:r>
          </w:p>
          <w:p w:rsidR="009126BC" w:rsidRPr="0006112A" w:rsidRDefault="009126BC" w:rsidP="0006112A">
            <w:pPr>
              <w:pStyle w:val="ListParagraph"/>
              <w:numPr>
                <w:ilvl w:val="0"/>
                <w:numId w:val="4"/>
              </w:numPr>
              <w:spacing w:after="14"/>
              <w:rPr>
                <w:rFonts w:ascii="Times New Roman" w:eastAsia="Times New Roman" w:hAnsi="Times New Roman" w:cs="Times New Roman"/>
                <w:sz w:val="21"/>
              </w:rPr>
            </w:pPr>
            <w:r w:rsidRPr="0006112A">
              <w:rPr>
                <w:rFonts w:ascii="Times New Roman" w:eastAsia="Times New Roman" w:hAnsi="Times New Roman" w:cs="Times New Roman"/>
                <w:sz w:val="21"/>
              </w:rPr>
              <w:t>Lexical layers of the Old Slavic language: a) Proto-Slavic lexical layer, b) loanwords, c) book creations (neologisms), g) calques</w:t>
            </w:r>
          </w:p>
          <w:p w:rsidR="009126BC" w:rsidRPr="0006112A" w:rsidRDefault="009126BC" w:rsidP="0006112A">
            <w:pPr>
              <w:pStyle w:val="ListParagraph"/>
              <w:numPr>
                <w:ilvl w:val="0"/>
                <w:numId w:val="4"/>
              </w:numPr>
              <w:spacing w:after="14"/>
              <w:rPr>
                <w:rFonts w:ascii="Times New Roman" w:eastAsia="Times New Roman" w:hAnsi="Times New Roman" w:cs="Times New Roman"/>
                <w:sz w:val="21"/>
              </w:rPr>
            </w:pPr>
            <w:r w:rsidRPr="0006112A">
              <w:rPr>
                <w:rFonts w:ascii="Times New Roman" w:eastAsia="Times New Roman" w:hAnsi="Times New Roman" w:cs="Times New Roman"/>
                <w:sz w:val="21"/>
              </w:rPr>
              <w:t>Language and theology. Theocentric view of the world and philosophical-theological glossary of the Middle Ages;</w:t>
            </w:r>
          </w:p>
        </w:tc>
      </w:tr>
    </w:tbl>
    <w:p w:rsidR="00BE04F8" w:rsidRDefault="00BE04F8">
      <w:pPr>
        <w:spacing w:after="0"/>
        <w:ind w:left="-1440" w:right="10466"/>
      </w:pPr>
    </w:p>
    <w:tbl>
      <w:tblPr>
        <w:tblStyle w:val="TableGrid"/>
        <w:tblW w:w="9386" w:type="dxa"/>
        <w:tblInd w:w="210" w:type="dxa"/>
        <w:tblCellMar>
          <w:top w:w="49" w:type="dxa"/>
          <w:left w:w="102" w:type="dxa"/>
        </w:tblCellMar>
        <w:tblLook w:val="04A0" w:firstRow="1" w:lastRow="0" w:firstColumn="1" w:lastColumn="0" w:noHBand="0" w:noVBand="1"/>
      </w:tblPr>
      <w:tblGrid>
        <w:gridCol w:w="48"/>
        <w:gridCol w:w="2464"/>
        <w:gridCol w:w="1094"/>
        <w:gridCol w:w="1930"/>
        <w:gridCol w:w="1051"/>
        <w:gridCol w:w="1925"/>
        <w:gridCol w:w="827"/>
        <w:gridCol w:w="47"/>
      </w:tblGrid>
      <w:tr w:rsidR="00BE04F8">
        <w:trPr>
          <w:trHeight w:val="3995"/>
        </w:trPr>
        <w:tc>
          <w:tcPr>
            <w:tcW w:w="9386" w:type="dxa"/>
            <w:gridSpan w:val="8"/>
            <w:tcBorders>
              <w:top w:val="single" w:sz="4" w:space="0" w:color="000000"/>
              <w:left w:val="single" w:sz="4" w:space="0" w:color="000000"/>
              <w:bottom w:val="single" w:sz="4" w:space="0" w:color="000000"/>
              <w:right w:val="single" w:sz="4" w:space="0" w:color="000000"/>
            </w:tcBorders>
          </w:tcPr>
          <w:p w:rsidR="009126BC" w:rsidRPr="0006112A" w:rsidRDefault="009126BC" w:rsidP="0006112A">
            <w:pPr>
              <w:pStyle w:val="ListParagraph"/>
              <w:numPr>
                <w:ilvl w:val="0"/>
                <w:numId w:val="5"/>
              </w:numPr>
              <w:spacing w:after="2" w:line="244" w:lineRule="auto"/>
              <w:rPr>
                <w:rFonts w:ascii="Times New Roman" w:eastAsia="Times New Roman" w:hAnsi="Times New Roman" w:cs="Times New Roman"/>
                <w:sz w:val="23"/>
              </w:rPr>
            </w:pPr>
            <w:r w:rsidRPr="0006112A">
              <w:rPr>
                <w:rFonts w:ascii="Times New Roman" w:eastAsia="Times New Roman" w:hAnsi="Times New Roman" w:cs="Times New Roman"/>
                <w:sz w:val="23"/>
              </w:rPr>
              <w:t>Cognitive bases of semantic change. The concept of health in Indo-European languages. Right and wrong as cognitive primitives.</w:t>
            </w:r>
          </w:p>
          <w:p w:rsidR="009126BC" w:rsidRPr="0006112A" w:rsidRDefault="009126BC" w:rsidP="0006112A">
            <w:pPr>
              <w:pStyle w:val="ListParagraph"/>
              <w:numPr>
                <w:ilvl w:val="0"/>
                <w:numId w:val="5"/>
              </w:numPr>
              <w:spacing w:after="2" w:line="244" w:lineRule="auto"/>
              <w:rPr>
                <w:rFonts w:ascii="Times New Roman" w:eastAsia="Times New Roman" w:hAnsi="Times New Roman" w:cs="Times New Roman"/>
                <w:sz w:val="23"/>
              </w:rPr>
            </w:pPr>
            <w:r w:rsidRPr="0006112A">
              <w:rPr>
                <w:rFonts w:ascii="Times New Roman" w:eastAsia="Times New Roman" w:hAnsi="Times New Roman" w:cs="Times New Roman"/>
                <w:sz w:val="23"/>
              </w:rPr>
              <w:t>Semantic change as a reflection of the meeting of cultures (pagan and Christian cultural model among the Slavs) (for example, sin, wine, curve, blood, debt, price, repent)</w:t>
            </w:r>
          </w:p>
          <w:p w:rsidR="009126BC" w:rsidRPr="0006112A" w:rsidRDefault="009126BC" w:rsidP="0006112A">
            <w:pPr>
              <w:pStyle w:val="ListParagraph"/>
              <w:numPr>
                <w:ilvl w:val="0"/>
                <w:numId w:val="5"/>
              </w:numPr>
              <w:spacing w:after="2" w:line="244" w:lineRule="auto"/>
              <w:rPr>
                <w:rFonts w:ascii="Times New Roman" w:eastAsia="Times New Roman" w:hAnsi="Times New Roman" w:cs="Times New Roman"/>
                <w:sz w:val="23"/>
              </w:rPr>
            </w:pPr>
            <w:r w:rsidRPr="0006112A">
              <w:rPr>
                <w:rFonts w:ascii="Times New Roman" w:eastAsia="Times New Roman" w:hAnsi="Times New Roman" w:cs="Times New Roman"/>
                <w:sz w:val="23"/>
              </w:rPr>
              <w:t xml:space="preserve">Agents of semantic changes and polysemy - displacement of meaning and/or verbalization of psychic experiences. Shifting of the semantic content (for example, good, mild, know, right, wrong, effort, passion, sacred, etc.), the indivisibility of synchrony from </w:t>
            </w:r>
            <w:r w:rsidR="0006112A" w:rsidRPr="0006112A">
              <w:rPr>
                <w:rFonts w:ascii="Times New Roman" w:eastAsia="Times New Roman" w:hAnsi="Times New Roman" w:cs="Times New Roman"/>
                <w:sz w:val="23"/>
              </w:rPr>
              <w:t>diachrony</w:t>
            </w:r>
            <w:r w:rsidRPr="0006112A">
              <w:rPr>
                <w:rFonts w:ascii="Times New Roman" w:eastAsia="Times New Roman" w:hAnsi="Times New Roman" w:cs="Times New Roman"/>
                <w:sz w:val="23"/>
              </w:rPr>
              <w:t>.</w:t>
            </w:r>
          </w:p>
          <w:p w:rsidR="009126BC" w:rsidRPr="0006112A" w:rsidRDefault="009126BC" w:rsidP="0006112A">
            <w:pPr>
              <w:pStyle w:val="ListParagraph"/>
              <w:numPr>
                <w:ilvl w:val="0"/>
                <w:numId w:val="5"/>
              </w:numPr>
              <w:spacing w:after="2" w:line="244" w:lineRule="auto"/>
              <w:rPr>
                <w:rFonts w:ascii="Times New Roman" w:eastAsia="Times New Roman" w:hAnsi="Times New Roman" w:cs="Times New Roman"/>
                <w:sz w:val="23"/>
              </w:rPr>
            </w:pPr>
            <w:r w:rsidRPr="0006112A">
              <w:rPr>
                <w:rFonts w:ascii="Times New Roman" w:eastAsia="Times New Roman" w:hAnsi="Times New Roman" w:cs="Times New Roman"/>
                <w:sz w:val="23"/>
              </w:rPr>
              <w:t>Metaphor and metonymy as cognitive processes that shape semantic structures</w:t>
            </w:r>
          </w:p>
          <w:p w:rsidR="009126BC" w:rsidRPr="0006112A" w:rsidRDefault="009126BC" w:rsidP="0006112A">
            <w:pPr>
              <w:pStyle w:val="ListParagraph"/>
              <w:numPr>
                <w:ilvl w:val="0"/>
                <w:numId w:val="5"/>
              </w:numPr>
              <w:spacing w:after="2" w:line="244" w:lineRule="auto"/>
              <w:rPr>
                <w:rFonts w:ascii="Times New Roman" w:eastAsia="Times New Roman" w:hAnsi="Times New Roman" w:cs="Times New Roman"/>
                <w:sz w:val="23"/>
              </w:rPr>
            </w:pPr>
            <w:r w:rsidRPr="0006112A">
              <w:rPr>
                <w:rFonts w:ascii="Times New Roman" w:eastAsia="Times New Roman" w:hAnsi="Times New Roman" w:cs="Times New Roman"/>
                <w:sz w:val="23"/>
              </w:rPr>
              <w:t>Semanticization of concepts in Christianity. Sacred lexical semantics.</w:t>
            </w:r>
          </w:p>
          <w:p w:rsidR="00BE04F8" w:rsidRDefault="009126BC" w:rsidP="0006112A">
            <w:pPr>
              <w:pStyle w:val="ListParagraph"/>
              <w:numPr>
                <w:ilvl w:val="0"/>
                <w:numId w:val="5"/>
              </w:numPr>
            </w:pPr>
            <w:r w:rsidRPr="0006112A">
              <w:rPr>
                <w:rFonts w:ascii="Times New Roman" w:eastAsia="Times New Roman" w:hAnsi="Times New Roman" w:cs="Times New Roman"/>
                <w:sz w:val="23"/>
              </w:rPr>
              <w:t>Development and improvement of the language in the field of lexis.</w:t>
            </w:r>
          </w:p>
        </w:tc>
      </w:tr>
      <w:tr w:rsidR="0006112A">
        <w:trPr>
          <w:trHeight w:val="257"/>
        </w:trPr>
        <w:tc>
          <w:tcPr>
            <w:tcW w:w="9386" w:type="dxa"/>
            <w:gridSpan w:val="8"/>
            <w:tcBorders>
              <w:top w:val="single" w:sz="4" w:space="0" w:color="000000"/>
              <w:left w:val="single" w:sz="4" w:space="0" w:color="000000"/>
              <w:bottom w:val="single" w:sz="4" w:space="0" w:color="000000"/>
              <w:right w:val="single" w:sz="4" w:space="0" w:color="000000"/>
            </w:tcBorders>
            <w:shd w:val="clear" w:color="auto" w:fill="B3B3B3"/>
          </w:tcPr>
          <w:p w:rsidR="0006112A" w:rsidRDefault="0006112A" w:rsidP="0006112A">
            <w:r w:rsidRPr="00094DF8">
              <w:rPr>
                <w:rFonts w:ascii="Times New Roman" w:eastAsia="Times New Roman" w:hAnsi="Times New Roman" w:cs="Times New Roman"/>
                <w:b/>
                <w:sz w:val="21"/>
              </w:rPr>
              <w:t>Methods of teaching and mastering the material:</w:t>
            </w:r>
          </w:p>
        </w:tc>
      </w:tr>
      <w:tr w:rsidR="00BE04F8">
        <w:trPr>
          <w:trHeight w:val="550"/>
        </w:trPr>
        <w:tc>
          <w:tcPr>
            <w:tcW w:w="9386" w:type="dxa"/>
            <w:gridSpan w:val="8"/>
            <w:tcBorders>
              <w:top w:val="single" w:sz="4" w:space="0" w:color="000000"/>
              <w:left w:val="single" w:sz="4" w:space="0" w:color="000000"/>
              <w:bottom w:val="single" w:sz="4" w:space="0" w:color="000000"/>
              <w:right w:val="single" w:sz="4" w:space="0" w:color="000000"/>
            </w:tcBorders>
          </w:tcPr>
          <w:p w:rsidR="00BE04F8" w:rsidRDefault="0006112A">
            <w:r w:rsidRPr="0006112A">
              <w:rPr>
                <w:rFonts w:ascii="Times New Roman" w:eastAsia="Times New Roman" w:hAnsi="Times New Roman" w:cs="Times New Roman"/>
                <w:sz w:val="23"/>
              </w:rPr>
              <w:t>Verbal-textual, textual, demonstrative, experimental. Forms of teaching: interactive lectures, auditory exercises, consultations</w:t>
            </w:r>
          </w:p>
        </w:tc>
      </w:tr>
      <w:tr w:rsidR="00BE04F8">
        <w:trPr>
          <w:trHeight w:val="252"/>
        </w:trPr>
        <w:tc>
          <w:tcPr>
            <w:tcW w:w="9386" w:type="dxa"/>
            <w:gridSpan w:val="8"/>
            <w:tcBorders>
              <w:top w:val="single" w:sz="4" w:space="0" w:color="000000"/>
              <w:left w:val="single" w:sz="4" w:space="0" w:color="000000"/>
              <w:bottom w:val="single" w:sz="4" w:space="0" w:color="000000"/>
              <w:right w:val="single" w:sz="4" w:space="0" w:color="000000"/>
            </w:tcBorders>
            <w:shd w:val="clear" w:color="auto" w:fill="B3B3B3"/>
          </w:tcPr>
          <w:p w:rsidR="00BE04F8" w:rsidRDefault="0006112A">
            <w:r>
              <w:rPr>
                <w:rFonts w:ascii="Times New Roman" w:eastAsia="Times New Roman" w:hAnsi="Times New Roman" w:cs="Times New Roman"/>
                <w:b/>
                <w:sz w:val="21"/>
              </w:rPr>
              <w:t>Literature:</w:t>
            </w:r>
          </w:p>
        </w:tc>
      </w:tr>
      <w:tr w:rsidR="00BE04F8">
        <w:trPr>
          <w:trHeight w:val="7508"/>
        </w:trPr>
        <w:tc>
          <w:tcPr>
            <w:tcW w:w="9386" w:type="dxa"/>
            <w:gridSpan w:val="8"/>
            <w:tcBorders>
              <w:top w:val="single" w:sz="4" w:space="0" w:color="000000"/>
              <w:left w:val="single" w:sz="4" w:space="0" w:color="000000"/>
              <w:bottom w:val="single" w:sz="4" w:space="0" w:color="000000"/>
              <w:right w:val="single" w:sz="4" w:space="0" w:color="000000"/>
            </w:tcBorders>
          </w:tcPr>
          <w:p w:rsidR="00BE04F8" w:rsidRDefault="00962E9A">
            <w:r>
              <w:rPr>
                <w:rFonts w:ascii="Times New Roman" w:eastAsia="Times New Roman" w:hAnsi="Times New Roman" w:cs="Times New Roman"/>
                <w:sz w:val="21"/>
              </w:rPr>
              <w:t xml:space="preserve"> </w:t>
            </w:r>
          </w:p>
          <w:p w:rsidR="00BE04F8" w:rsidRDefault="00962E9A">
            <w:pPr>
              <w:numPr>
                <w:ilvl w:val="0"/>
                <w:numId w:val="3"/>
              </w:numPr>
              <w:spacing w:after="3" w:line="238" w:lineRule="auto"/>
              <w:ind w:right="55" w:hanging="350"/>
              <w:jc w:val="both"/>
            </w:pPr>
            <w:proofErr w:type="spellStart"/>
            <w:r>
              <w:rPr>
                <w:rFonts w:ascii="Times New Roman" w:eastAsia="Times New Roman" w:hAnsi="Times New Roman" w:cs="Times New Roman"/>
                <w:sz w:val="23"/>
              </w:rPr>
              <w:t>Јасмина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Грковић-Мејџор</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Списи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из</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историјске</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лингвистике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Издавачка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књижарница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Зорана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Стојановића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Сремски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Карловци-Нови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Сад</w:t>
            </w:r>
            <w:proofErr w:type="spellEnd"/>
            <w:r>
              <w:rPr>
                <w:rFonts w:ascii="Times New Roman" w:eastAsia="Times New Roman" w:hAnsi="Times New Roman" w:cs="Times New Roman"/>
                <w:sz w:val="23"/>
              </w:rPr>
              <w:t xml:space="preserve">, 2007. </w:t>
            </w:r>
          </w:p>
          <w:p w:rsidR="00BE04F8" w:rsidRDefault="00962E9A">
            <w:pPr>
              <w:numPr>
                <w:ilvl w:val="0"/>
                <w:numId w:val="3"/>
              </w:numPr>
              <w:spacing w:after="5" w:line="238" w:lineRule="auto"/>
              <w:ind w:right="55" w:hanging="350"/>
              <w:jc w:val="both"/>
            </w:pPr>
            <w:proofErr w:type="spellStart"/>
            <w:r>
              <w:rPr>
                <w:rFonts w:ascii="Times New Roman" w:eastAsia="Times New Roman" w:hAnsi="Times New Roman" w:cs="Times New Roman"/>
                <w:sz w:val="23"/>
              </w:rPr>
              <w:t>Јасмина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Грковић-Мејџор</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Историјска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лингвистика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когнитивно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типолошке</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студије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Издавачка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књижарница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Зорана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Стојановића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Сремски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Карловци-Нови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Сад</w:t>
            </w:r>
            <w:proofErr w:type="spellEnd"/>
            <w:r>
              <w:rPr>
                <w:rFonts w:ascii="Times New Roman" w:eastAsia="Times New Roman" w:hAnsi="Times New Roman" w:cs="Times New Roman"/>
                <w:sz w:val="23"/>
              </w:rPr>
              <w:t xml:space="preserve">, 2014. </w:t>
            </w:r>
          </w:p>
          <w:p w:rsidR="00BE04F8" w:rsidRDefault="00962E9A">
            <w:pPr>
              <w:numPr>
                <w:ilvl w:val="0"/>
                <w:numId w:val="3"/>
              </w:numPr>
              <w:spacing w:after="10" w:line="234" w:lineRule="auto"/>
              <w:ind w:right="55" w:hanging="350"/>
              <w:jc w:val="both"/>
            </w:pPr>
            <w:proofErr w:type="spellStart"/>
            <w:r>
              <w:rPr>
                <w:rFonts w:ascii="Times New Roman" w:eastAsia="Times New Roman" w:hAnsi="Times New Roman" w:cs="Times New Roman"/>
                <w:sz w:val="23"/>
              </w:rPr>
              <w:t>Зорица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Никитовић</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Сложенице</w:t>
            </w:r>
            <w:proofErr w:type="spellEnd"/>
            <w:r>
              <w:rPr>
                <w:rFonts w:ascii="Times New Roman" w:eastAsia="Times New Roman" w:hAnsi="Times New Roman" w:cs="Times New Roman"/>
                <w:i/>
                <w:sz w:val="23"/>
              </w:rPr>
              <w:t xml:space="preserve"> у </w:t>
            </w:r>
            <w:proofErr w:type="spellStart"/>
            <w:r>
              <w:rPr>
                <w:rFonts w:ascii="Times New Roman" w:eastAsia="Times New Roman" w:hAnsi="Times New Roman" w:cs="Times New Roman"/>
                <w:i/>
                <w:sz w:val="23"/>
              </w:rPr>
              <w:t>оригиналним</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српскословенским</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дјелима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сакралног</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карактера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Филолошки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факултет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Бања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Лука</w:t>
            </w:r>
            <w:proofErr w:type="spellEnd"/>
            <w:r>
              <w:rPr>
                <w:rFonts w:ascii="Times New Roman" w:eastAsia="Times New Roman" w:hAnsi="Times New Roman" w:cs="Times New Roman"/>
                <w:sz w:val="23"/>
              </w:rPr>
              <w:t xml:space="preserve"> 2014. </w:t>
            </w:r>
          </w:p>
          <w:p w:rsidR="00BE04F8" w:rsidRDefault="00962E9A">
            <w:pPr>
              <w:numPr>
                <w:ilvl w:val="0"/>
                <w:numId w:val="3"/>
              </w:numPr>
              <w:spacing w:line="238" w:lineRule="auto"/>
              <w:ind w:right="55" w:hanging="350"/>
              <w:jc w:val="both"/>
            </w:pPr>
            <w:proofErr w:type="spellStart"/>
            <w:r>
              <w:rPr>
                <w:rFonts w:ascii="Times New Roman" w:eastAsia="Times New Roman" w:hAnsi="Times New Roman" w:cs="Times New Roman"/>
                <w:sz w:val="23"/>
              </w:rPr>
              <w:t>Зорица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Никитовић</w:t>
            </w:r>
            <w:proofErr w:type="spellEnd"/>
            <w:r>
              <w:rPr>
                <w:rFonts w:ascii="Times New Roman" w:eastAsia="Times New Roman" w:hAnsi="Times New Roman" w:cs="Times New Roman"/>
                <w:sz w:val="23"/>
              </w:rPr>
              <w:t>.</w:t>
            </w:r>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Именица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благоутробије</w:t>
            </w:r>
            <w:proofErr w:type="spellEnd"/>
            <w:proofErr w:type="gramStart"/>
            <w:r>
              <w:rPr>
                <w:rFonts w:ascii="Times New Roman" w:eastAsia="Times New Roman" w:hAnsi="Times New Roman" w:cs="Times New Roman"/>
                <w:i/>
                <w:sz w:val="23"/>
              </w:rPr>
              <w:t>“ у</w:t>
            </w:r>
            <w:proofErr w:type="gram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дијахронијској</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перспективи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sz w:val="23"/>
              </w:rPr>
              <w:t>Зборник</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радова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научног</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скупа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Наука</w:t>
            </w:r>
            <w:proofErr w:type="spellEnd"/>
            <w:r>
              <w:rPr>
                <w:rFonts w:ascii="Times New Roman" w:eastAsia="Times New Roman" w:hAnsi="Times New Roman" w:cs="Times New Roman"/>
                <w:sz w:val="23"/>
              </w:rPr>
              <w:t xml:space="preserve"> и </w:t>
            </w:r>
            <w:proofErr w:type="spellStart"/>
            <w:r>
              <w:rPr>
                <w:rFonts w:ascii="Times New Roman" w:eastAsia="Times New Roman" w:hAnsi="Times New Roman" w:cs="Times New Roman"/>
                <w:sz w:val="23"/>
              </w:rPr>
              <w:t>традиција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Филозофски</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факултет</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Пале</w:t>
            </w:r>
            <w:proofErr w:type="spellEnd"/>
            <w:r>
              <w:rPr>
                <w:rFonts w:ascii="Times New Roman" w:eastAsia="Times New Roman" w:hAnsi="Times New Roman" w:cs="Times New Roman"/>
                <w:sz w:val="23"/>
              </w:rPr>
              <w:t xml:space="preserve">, 2013, 157-168.  </w:t>
            </w:r>
          </w:p>
          <w:p w:rsidR="00BE04F8" w:rsidRDefault="00962E9A">
            <w:pPr>
              <w:numPr>
                <w:ilvl w:val="0"/>
                <w:numId w:val="3"/>
              </w:numPr>
              <w:ind w:right="55" w:hanging="350"/>
              <w:jc w:val="both"/>
            </w:pPr>
            <w:proofErr w:type="spellStart"/>
            <w:r>
              <w:rPr>
                <w:rFonts w:ascii="Times New Roman" w:eastAsia="Times New Roman" w:hAnsi="Times New Roman" w:cs="Times New Roman"/>
                <w:sz w:val="23"/>
              </w:rPr>
              <w:t>Кобозева</w:t>
            </w:r>
            <w:proofErr w:type="spellEnd"/>
            <w:r>
              <w:rPr>
                <w:rFonts w:ascii="Times New Roman" w:eastAsia="Times New Roman" w:hAnsi="Times New Roman" w:cs="Times New Roman"/>
                <w:sz w:val="23"/>
              </w:rPr>
              <w:t xml:space="preserve"> И. М. </w:t>
            </w:r>
            <w:proofErr w:type="spellStart"/>
            <w:r>
              <w:rPr>
                <w:rFonts w:ascii="Times New Roman" w:eastAsia="Times New Roman" w:hAnsi="Times New Roman" w:cs="Times New Roman"/>
                <w:sz w:val="23"/>
              </w:rPr>
              <w:t>Лингвистическая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семантика</w:t>
            </w:r>
            <w:proofErr w:type="spellEnd"/>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М.:</w:t>
            </w:r>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Эдиториал</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УРСС</w:t>
            </w:r>
            <w:proofErr w:type="spellEnd"/>
            <w:r>
              <w:rPr>
                <w:rFonts w:ascii="Times New Roman" w:eastAsia="Times New Roman" w:hAnsi="Times New Roman" w:cs="Times New Roman"/>
                <w:sz w:val="23"/>
              </w:rPr>
              <w:t xml:space="preserve">, 2000.           -  </w:t>
            </w:r>
            <w:proofErr w:type="spellStart"/>
            <w:r>
              <w:rPr>
                <w:rFonts w:ascii="Times New Roman" w:eastAsia="Times New Roman" w:hAnsi="Times New Roman" w:cs="Times New Roman"/>
                <w:sz w:val="23"/>
              </w:rPr>
              <w:t>Верещагин</w:t>
            </w:r>
            <w:proofErr w:type="spellEnd"/>
            <w:proofErr w:type="gramStart"/>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История</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возникновения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древнего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обеславянского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литературного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языка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Переводческаяя</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деятельность</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Кирилла</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Мефодия</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их</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учеников</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Мартис</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Москва</w:t>
            </w:r>
            <w:proofErr w:type="spellEnd"/>
            <w:r>
              <w:rPr>
                <w:rFonts w:ascii="Times New Roman" w:eastAsia="Times New Roman" w:hAnsi="Times New Roman" w:cs="Times New Roman"/>
                <w:sz w:val="23"/>
              </w:rPr>
              <w:t xml:space="preserve"> 1997. </w:t>
            </w:r>
          </w:p>
          <w:p w:rsidR="00BE04F8" w:rsidRDefault="00962E9A">
            <w:pPr>
              <w:numPr>
                <w:ilvl w:val="0"/>
                <w:numId w:val="3"/>
              </w:numPr>
              <w:spacing w:line="243" w:lineRule="auto"/>
              <w:ind w:right="55" w:hanging="350"/>
              <w:jc w:val="both"/>
            </w:pPr>
            <w:proofErr w:type="spellStart"/>
            <w:r>
              <w:rPr>
                <w:rFonts w:ascii="Times New Roman" w:eastAsia="Times New Roman" w:hAnsi="Times New Roman" w:cs="Times New Roman"/>
                <w:sz w:val="23"/>
              </w:rPr>
              <w:t>Уфимцева</w:t>
            </w:r>
            <w:proofErr w:type="spellEnd"/>
            <w:r>
              <w:rPr>
                <w:rFonts w:ascii="Times New Roman" w:eastAsia="Times New Roman" w:hAnsi="Times New Roman" w:cs="Times New Roman"/>
                <w:sz w:val="23"/>
              </w:rPr>
              <w:t xml:space="preserve"> A. A. </w:t>
            </w:r>
            <w:proofErr w:type="spellStart"/>
            <w:r>
              <w:rPr>
                <w:rFonts w:ascii="Times New Roman" w:eastAsia="Times New Roman" w:hAnsi="Times New Roman" w:cs="Times New Roman"/>
                <w:sz w:val="23"/>
              </w:rPr>
              <w:t>Лексическое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значение</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Принцип</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семиологического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описания</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лексики</w:t>
            </w:r>
            <w:proofErr w:type="spellEnd"/>
            <w:r>
              <w:rPr>
                <w:rFonts w:ascii="Times New Roman" w:eastAsia="Times New Roman" w:hAnsi="Times New Roman" w:cs="Times New Roman"/>
                <w:sz w:val="23"/>
              </w:rPr>
              <w:t xml:space="preserve">. </w:t>
            </w:r>
            <w:proofErr w:type="gramStart"/>
            <w:r>
              <w:rPr>
                <w:rFonts w:ascii="Times New Roman" w:eastAsia="Times New Roman" w:hAnsi="Times New Roman" w:cs="Times New Roman"/>
                <w:sz w:val="23"/>
              </w:rPr>
              <w:t>М.:</w:t>
            </w:r>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Наука</w:t>
            </w:r>
            <w:proofErr w:type="spellEnd"/>
            <w:r>
              <w:rPr>
                <w:rFonts w:ascii="Times New Roman" w:eastAsia="Times New Roman" w:hAnsi="Times New Roman" w:cs="Times New Roman"/>
                <w:sz w:val="23"/>
              </w:rPr>
              <w:t xml:space="preserve">, 1986. </w:t>
            </w:r>
          </w:p>
          <w:p w:rsidR="00BE04F8" w:rsidRDefault="00962E9A">
            <w:pPr>
              <w:numPr>
                <w:ilvl w:val="0"/>
                <w:numId w:val="3"/>
              </w:numPr>
              <w:spacing w:line="238" w:lineRule="auto"/>
              <w:ind w:right="55" w:hanging="350"/>
              <w:jc w:val="both"/>
            </w:pPr>
            <w:proofErr w:type="spellStart"/>
            <w:r>
              <w:rPr>
                <w:rFonts w:ascii="Times New Roman" w:eastAsia="Times New Roman" w:hAnsi="Times New Roman" w:cs="Times New Roman"/>
                <w:sz w:val="23"/>
              </w:rPr>
              <w:t>Цейтлин</w:t>
            </w:r>
            <w:proofErr w:type="spellEnd"/>
            <w:r>
              <w:rPr>
                <w:rFonts w:ascii="Times New Roman" w:eastAsia="Times New Roman" w:hAnsi="Times New Roman" w:cs="Times New Roman"/>
                <w:sz w:val="23"/>
              </w:rPr>
              <w:t xml:space="preserve"> 1977: Р. М. </w:t>
            </w:r>
            <w:proofErr w:type="spellStart"/>
            <w:r>
              <w:rPr>
                <w:rFonts w:ascii="Times New Roman" w:eastAsia="Times New Roman" w:hAnsi="Times New Roman" w:cs="Times New Roman"/>
                <w:sz w:val="23"/>
              </w:rPr>
              <w:t>Цейтлин</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Лексика</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старославянского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языка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Москва</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Издательство</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Наука</w:t>
            </w:r>
            <w:proofErr w:type="spellEnd"/>
            <w:r>
              <w:rPr>
                <w:rFonts w:ascii="Times New Roman" w:eastAsia="Times New Roman" w:hAnsi="Times New Roman" w:cs="Times New Roman"/>
                <w:sz w:val="23"/>
              </w:rPr>
              <w:t xml:space="preserve">“.     </w:t>
            </w:r>
          </w:p>
          <w:p w:rsidR="00BE04F8" w:rsidRDefault="00962E9A">
            <w:pPr>
              <w:numPr>
                <w:ilvl w:val="0"/>
                <w:numId w:val="3"/>
              </w:numPr>
              <w:spacing w:line="238" w:lineRule="auto"/>
              <w:ind w:right="55" w:hanging="350"/>
              <w:jc w:val="both"/>
            </w:pPr>
            <w:proofErr w:type="spellStart"/>
            <w:r>
              <w:rPr>
                <w:rFonts w:ascii="Times New Roman" w:eastAsia="Times New Roman" w:hAnsi="Times New Roman" w:cs="Times New Roman"/>
                <w:sz w:val="23"/>
              </w:rPr>
              <w:t>Львов</w:t>
            </w:r>
            <w:proofErr w:type="spellEnd"/>
            <w:r>
              <w:rPr>
                <w:rFonts w:ascii="Times New Roman" w:eastAsia="Times New Roman" w:hAnsi="Times New Roman" w:cs="Times New Roman"/>
                <w:sz w:val="23"/>
              </w:rPr>
              <w:t xml:space="preserve"> 1976: А. С. </w:t>
            </w:r>
            <w:proofErr w:type="spellStart"/>
            <w:r>
              <w:rPr>
                <w:rFonts w:ascii="Times New Roman" w:eastAsia="Times New Roman" w:hAnsi="Times New Roman" w:cs="Times New Roman"/>
                <w:sz w:val="23"/>
              </w:rPr>
              <w:t>Львов</w:t>
            </w:r>
            <w:proofErr w:type="spellEnd"/>
            <w:r>
              <w:rPr>
                <w:rFonts w:ascii="Times New Roman" w:eastAsia="Times New Roman" w:hAnsi="Times New Roman" w:cs="Times New Roman"/>
                <w:sz w:val="23"/>
              </w:rPr>
              <w:t xml:space="preserve">. </w:t>
            </w:r>
            <w:proofErr w:type="spellStart"/>
            <w:proofErr w:type="gramStart"/>
            <w:r>
              <w:rPr>
                <w:rFonts w:ascii="Times New Roman" w:eastAsia="Times New Roman" w:hAnsi="Times New Roman" w:cs="Times New Roman"/>
                <w:i/>
                <w:sz w:val="23"/>
              </w:rPr>
              <w:t>Праславянский</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слой</w:t>
            </w:r>
            <w:proofErr w:type="spellEnd"/>
            <w:proofErr w:type="gram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старославянской</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лексики</w:t>
            </w:r>
            <w:proofErr w:type="spellEnd"/>
            <w:r>
              <w:rPr>
                <w:rFonts w:ascii="Times New Roman" w:eastAsia="Times New Roman" w:hAnsi="Times New Roman" w:cs="Times New Roman"/>
                <w:sz w:val="23"/>
              </w:rPr>
              <w:t xml:space="preserve">. </w:t>
            </w:r>
            <w:proofErr w:type="spellStart"/>
            <w:proofErr w:type="gramStart"/>
            <w:r>
              <w:rPr>
                <w:rFonts w:ascii="Times New Roman" w:eastAsia="Times New Roman" w:hAnsi="Times New Roman" w:cs="Times New Roman"/>
                <w:sz w:val="23"/>
              </w:rPr>
              <w:t>Вопросы</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языкознания</w:t>
            </w:r>
            <w:proofErr w:type="spellEnd"/>
            <w:proofErr w:type="gram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Москва</w:t>
            </w:r>
            <w:proofErr w:type="spellEnd"/>
            <w:r>
              <w:rPr>
                <w:rFonts w:ascii="Times New Roman" w:eastAsia="Times New Roman" w:hAnsi="Times New Roman" w:cs="Times New Roman"/>
                <w:sz w:val="23"/>
              </w:rPr>
              <w:t xml:space="preserve">, 71-85. </w:t>
            </w:r>
          </w:p>
          <w:p w:rsidR="00BE04F8" w:rsidRDefault="00962E9A">
            <w:pPr>
              <w:numPr>
                <w:ilvl w:val="0"/>
                <w:numId w:val="3"/>
              </w:numPr>
              <w:spacing w:line="238" w:lineRule="auto"/>
              <w:ind w:right="55" w:hanging="350"/>
              <w:jc w:val="both"/>
            </w:pPr>
            <w:proofErr w:type="spellStart"/>
            <w:r>
              <w:rPr>
                <w:rFonts w:ascii="Times New Roman" w:eastAsia="Times New Roman" w:hAnsi="Times New Roman" w:cs="Times New Roman"/>
                <w:sz w:val="23"/>
              </w:rPr>
              <w:t>Улуханов</w:t>
            </w:r>
            <w:proofErr w:type="gramStart"/>
            <w:r>
              <w:rPr>
                <w:rFonts w:ascii="Times New Roman" w:eastAsia="Times New Roman" w:hAnsi="Times New Roman" w:cs="Times New Roman"/>
                <w:sz w:val="23"/>
              </w:rPr>
              <w:t>,Солдатенкова</w:t>
            </w:r>
            <w:proofErr w:type="spellEnd"/>
            <w:proofErr w:type="gramEnd"/>
            <w:r>
              <w:rPr>
                <w:rFonts w:ascii="Times New Roman" w:eastAsia="Times New Roman" w:hAnsi="Times New Roman" w:cs="Times New Roman"/>
                <w:sz w:val="23"/>
              </w:rPr>
              <w:t xml:space="preserve"> 2002: И. С. </w:t>
            </w:r>
            <w:proofErr w:type="spellStart"/>
            <w:r>
              <w:rPr>
                <w:rFonts w:ascii="Times New Roman" w:eastAsia="Times New Roman" w:hAnsi="Times New Roman" w:cs="Times New Roman"/>
                <w:sz w:val="23"/>
              </w:rPr>
              <w:t>Улуханов</w:t>
            </w:r>
            <w:proofErr w:type="spellEnd"/>
            <w:r>
              <w:rPr>
                <w:rFonts w:ascii="Times New Roman" w:eastAsia="Times New Roman" w:hAnsi="Times New Roman" w:cs="Times New Roman"/>
                <w:sz w:val="23"/>
              </w:rPr>
              <w:t xml:space="preserve"> и Т. Н. </w:t>
            </w:r>
            <w:proofErr w:type="spellStart"/>
            <w:r>
              <w:rPr>
                <w:rFonts w:ascii="Times New Roman" w:eastAsia="Times New Roman" w:hAnsi="Times New Roman" w:cs="Times New Roman"/>
                <w:sz w:val="23"/>
              </w:rPr>
              <w:t>Солдатенкова</w:t>
            </w:r>
            <w:proofErr w:type="spellEnd"/>
            <w:r>
              <w:rPr>
                <w:rFonts w:ascii="Times New Roman" w:eastAsia="Times New Roman" w:hAnsi="Times New Roman" w:cs="Times New Roman"/>
                <w:sz w:val="23"/>
              </w:rPr>
              <w:t xml:space="preserve">. </w:t>
            </w:r>
            <w:r>
              <w:rPr>
                <w:rFonts w:ascii="Times New Roman" w:eastAsia="Times New Roman" w:hAnsi="Times New Roman" w:cs="Times New Roman"/>
                <w:i/>
                <w:sz w:val="23"/>
              </w:rPr>
              <w:t xml:space="preserve">О </w:t>
            </w:r>
            <w:proofErr w:type="spellStart"/>
            <w:r>
              <w:rPr>
                <w:rFonts w:ascii="Times New Roman" w:eastAsia="Times New Roman" w:hAnsi="Times New Roman" w:cs="Times New Roman"/>
                <w:i/>
                <w:sz w:val="23"/>
              </w:rPr>
              <w:t>некоторых</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перспективах</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изучения</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исторической</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лексикологии</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русского</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языка</w:t>
            </w:r>
            <w:proofErr w:type="spellEnd"/>
            <w:r>
              <w:rPr>
                <w:rFonts w:ascii="Times New Roman" w:eastAsia="Times New Roman" w:hAnsi="Times New Roman" w:cs="Times New Roman"/>
                <w:sz w:val="23"/>
              </w:rPr>
              <w:t xml:space="preserve">. Russian </w:t>
            </w:r>
          </w:p>
          <w:p w:rsidR="00BE04F8" w:rsidRDefault="00962E9A">
            <w:pPr>
              <w:ind w:left="686"/>
            </w:pPr>
            <w:r>
              <w:rPr>
                <w:rFonts w:ascii="Times New Roman" w:eastAsia="Times New Roman" w:hAnsi="Times New Roman" w:cs="Times New Roman"/>
                <w:sz w:val="23"/>
              </w:rPr>
              <w:t>Linguistics 26</w:t>
            </w:r>
            <w:proofErr w:type="gramStart"/>
            <w:r>
              <w:rPr>
                <w:rFonts w:ascii="Times New Roman" w:eastAsia="Times New Roman" w:hAnsi="Times New Roman" w:cs="Times New Roman"/>
                <w:sz w:val="23"/>
              </w:rPr>
              <w:t>,  29</w:t>
            </w:r>
            <w:proofErr w:type="gramEnd"/>
            <w:r>
              <w:rPr>
                <w:rFonts w:ascii="Times New Roman" w:eastAsia="Times New Roman" w:hAnsi="Times New Roman" w:cs="Times New Roman"/>
                <w:sz w:val="23"/>
              </w:rPr>
              <w:t xml:space="preserve">-62.  </w:t>
            </w:r>
          </w:p>
          <w:p w:rsidR="00BE04F8" w:rsidRDefault="00962E9A">
            <w:pPr>
              <w:numPr>
                <w:ilvl w:val="0"/>
                <w:numId w:val="3"/>
              </w:numPr>
              <w:spacing w:line="239" w:lineRule="auto"/>
              <w:ind w:right="55" w:hanging="350"/>
              <w:jc w:val="both"/>
            </w:pPr>
            <w:proofErr w:type="spellStart"/>
            <w:r>
              <w:rPr>
                <w:rFonts w:ascii="Times New Roman" w:eastAsia="Times New Roman" w:hAnsi="Times New Roman" w:cs="Times New Roman"/>
                <w:sz w:val="23"/>
              </w:rPr>
              <w:t>Jelitte</w:t>
            </w:r>
            <w:proofErr w:type="spellEnd"/>
            <w:r>
              <w:rPr>
                <w:rFonts w:ascii="Times New Roman" w:eastAsia="Times New Roman" w:hAnsi="Times New Roman" w:cs="Times New Roman"/>
                <w:sz w:val="19"/>
              </w:rPr>
              <w:t xml:space="preserve"> </w:t>
            </w:r>
            <w:r>
              <w:rPr>
                <w:rFonts w:ascii="Times New Roman" w:eastAsia="Times New Roman" w:hAnsi="Times New Roman" w:cs="Times New Roman"/>
                <w:sz w:val="23"/>
              </w:rPr>
              <w:t xml:space="preserve">1999: Herbert </w:t>
            </w:r>
            <w:proofErr w:type="spellStart"/>
            <w:r>
              <w:rPr>
                <w:rFonts w:ascii="Times New Roman" w:eastAsia="Times New Roman" w:hAnsi="Times New Roman" w:cs="Times New Roman"/>
                <w:sz w:val="23"/>
              </w:rPr>
              <w:t>Jelitte</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i/>
                <w:sz w:val="23"/>
              </w:rPr>
              <w:t>Абстрактная</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лексика</w:t>
            </w:r>
            <w:proofErr w:type="spellEnd"/>
            <w:r>
              <w:rPr>
                <w:rFonts w:ascii="Times New Roman" w:eastAsia="Times New Roman" w:hAnsi="Times New Roman" w:cs="Times New Roman"/>
                <w:i/>
                <w:sz w:val="23"/>
              </w:rPr>
              <w:t xml:space="preserve"> в </w:t>
            </w:r>
            <w:proofErr w:type="spellStart"/>
            <w:r>
              <w:rPr>
                <w:rFonts w:ascii="Times New Roman" w:eastAsia="Times New Roman" w:hAnsi="Times New Roman" w:cs="Times New Roman"/>
                <w:i/>
                <w:sz w:val="23"/>
              </w:rPr>
              <w:t>древнецерквенославянском</w:t>
            </w:r>
            <w:proofErr w:type="spellEnd"/>
            <w:r>
              <w:rPr>
                <w:rFonts w:ascii="Times New Roman" w:eastAsia="Times New Roman" w:hAnsi="Times New Roman" w:cs="Times New Roman"/>
                <w:i/>
                <w:sz w:val="23"/>
              </w:rPr>
              <w:t xml:space="preserve"> и </w:t>
            </w:r>
            <w:proofErr w:type="spellStart"/>
            <w:r>
              <w:rPr>
                <w:rFonts w:ascii="Times New Roman" w:eastAsia="Times New Roman" w:hAnsi="Times New Roman" w:cs="Times New Roman"/>
                <w:i/>
                <w:sz w:val="23"/>
              </w:rPr>
              <w:t>древнерусском</w:t>
            </w:r>
            <w:proofErr w:type="spellEnd"/>
            <w:r>
              <w:rPr>
                <w:rFonts w:ascii="Times New Roman" w:eastAsia="Times New Roman" w:hAnsi="Times New Roman" w:cs="Times New Roman"/>
                <w:i/>
                <w:sz w:val="23"/>
              </w:rPr>
              <w:t xml:space="preserve"> </w:t>
            </w:r>
            <w:proofErr w:type="spellStart"/>
            <w:r>
              <w:rPr>
                <w:rFonts w:ascii="Times New Roman" w:eastAsia="Times New Roman" w:hAnsi="Times New Roman" w:cs="Times New Roman"/>
                <w:i/>
                <w:sz w:val="23"/>
              </w:rPr>
              <w:t>языках</w:t>
            </w:r>
            <w:proofErr w:type="spellEnd"/>
            <w:r>
              <w:rPr>
                <w:rFonts w:ascii="Times New Roman" w:eastAsia="Times New Roman" w:hAnsi="Times New Roman" w:cs="Times New Roman"/>
                <w:sz w:val="23"/>
              </w:rPr>
              <w:t>. Frankfurt am Main: Peter Lang</w:t>
            </w:r>
            <w:proofErr w:type="gramStart"/>
            <w:r>
              <w:rPr>
                <w:rFonts w:ascii="Times New Roman" w:eastAsia="Times New Roman" w:hAnsi="Times New Roman" w:cs="Times New Roman"/>
                <w:sz w:val="23"/>
              </w:rPr>
              <w:t>,  321</w:t>
            </w:r>
            <w:proofErr w:type="gramEnd"/>
            <w:r>
              <w:rPr>
                <w:rFonts w:ascii="Times New Roman" w:eastAsia="Times New Roman" w:hAnsi="Times New Roman" w:cs="Times New Roman"/>
                <w:sz w:val="23"/>
              </w:rPr>
              <w:t xml:space="preserve">-332.  </w:t>
            </w:r>
          </w:p>
          <w:p w:rsidR="00BE04F8" w:rsidRDefault="00962E9A">
            <w:pPr>
              <w:numPr>
                <w:ilvl w:val="0"/>
                <w:numId w:val="3"/>
              </w:numPr>
              <w:ind w:right="55" w:hanging="350"/>
              <w:jc w:val="both"/>
            </w:pPr>
            <w:r>
              <w:rPr>
                <w:rFonts w:ascii="Times New Roman" w:eastAsia="Times New Roman" w:hAnsi="Times New Roman" w:cs="Times New Roman"/>
                <w:sz w:val="23"/>
              </w:rPr>
              <w:t xml:space="preserve">D.A. Cruse (1991), Lexical Semantics, </w:t>
            </w:r>
            <w:proofErr w:type="spellStart"/>
            <w:r>
              <w:rPr>
                <w:rFonts w:ascii="Times New Roman" w:eastAsia="Times New Roman" w:hAnsi="Times New Roman" w:cs="Times New Roman"/>
                <w:sz w:val="23"/>
              </w:rPr>
              <w:t>Cambrige</w:t>
            </w:r>
            <w:proofErr w:type="spellEnd"/>
            <w:r>
              <w:rPr>
                <w:rFonts w:ascii="Times New Roman" w:eastAsia="Times New Roman" w:hAnsi="Times New Roman" w:cs="Times New Roman"/>
                <w:sz w:val="23"/>
              </w:rPr>
              <w:t xml:space="preserve">: Cambridge University Press. </w:t>
            </w:r>
            <w:r>
              <w:rPr>
                <w:rFonts w:ascii="Times New Roman" w:eastAsia="Times New Roman" w:hAnsi="Times New Roman" w:cs="Times New Roman"/>
                <w:i/>
                <w:sz w:val="23"/>
              </w:rPr>
              <w:t xml:space="preserve"> </w:t>
            </w:r>
          </w:p>
          <w:p w:rsidR="00BE04F8" w:rsidRDefault="00962E9A">
            <w:pPr>
              <w:numPr>
                <w:ilvl w:val="0"/>
                <w:numId w:val="3"/>
              </w:numPr>
              <w:ind w:right="55" w:hanging="350"/>
              <w:jc w:val="both"/>
            </w:pPr>
            <w:r>
              <w:rPr>
                <w:rFonts w:ascii="Times New Roman" w:eastAsia="Times New Roman" w:hAnsi="Times New Roman" w:cs="Times New Roman"/>
                <w:sz w:val="23"/>
              </w:rPr>
              <w:t xml:space="preserve">John R. Taylor (1991), Linguistic Categorization. Prototypes in Linguistic Theory, New </w:t>
            </w:r>
          </w:p>
        </w:tc>
      </w:tr>
      <w:tr w:rsidR="00BE04F8" w:rsidTr="0006112A">
        <w:tblPrEx>
          <w:tblCellMar>
            <w:top w:w="42" w:type="dxa"/>
            <w:left w:w="54" w:type="dxa"/>
            <w:right w:w="62" w:type="dxa"/>
          </w:tblCellMar>
        </w:tblPrEx>
        <w:trPr>
          <w:gridBefore w:val="1"/>
          <w:gridAfter w:val="1"/>
          <w:wBefore w:w="48" w:type="dxa"/>
          <w:wAfter w:w="47" w:type="dxa"/>
          <w:trHeight w:val="1062"/>
        </w:trPr>
        <w:tc>
          <w:tcPr>
            <w:tcW w:w="9291" w:type="dxa"/>
            <w:gridSpan w:val="6"/>
            <w:tcBorders>
              <w:top w:val="single" w:sz="4" w:space="0" w:color="000000"/>
              <w:left w:val="single" w:sz="4" w:space="0" w:color="000000"/>
              <w:bottom w:val="single" w:sz="4" w:space="0" w:color="000000"/>
              <w:right w:val="single" w:sz="4" w:space="0" w:color="000000"/>
            </w:tcBorders>
          </w:tcPr>
          <w:p w:rsidR="00BE04F8" w:rsidRDefault="00962E9A">
            <w:pPr>
              <w:ind w:left="701"/>
            </w:pPr>
            <w:r>
              <w:rPr>
                <w:rFonts w:ascii="Times New Roman" w:eastAsia="Times New Roman" w:hAnsi="Times New Roman" w:cs="Times New Roman"/>
                <w:sz w:val="23"/>
              </w:rPr>
              <w:t>York: Oxford University Press.</w:t>
            </w:r>
            <w:r>
              <w:rPr>
                <w:rFonts w:ascii="Times New Roman" w:eastAsia="Times New Roman" w:hAnsi="Times New Roman" w:cs="Times New Roman"/>
                <w:i/>
                <w:sz w:val="23"/>
              </w:rPr>
              <w:t xml:space="preserve"> </w:t>
            </w:r>
          </w:p>
          <w:p w:rsidR="00BE04F8" w:rsidRDefault="00962E9A">
            <w:pPr>
              <w:spacing w:line="239" w:lineRule="auto"/>
              <w:ind w:left="700" w:hanging="350"/>
              <w:jc w:val="both"/>
            </w:pPr>
            <w:r>
              <w:rPr>
                <w:rFonts w:ascii="Times New Roman" w:eastAsia="Times New Roman" w:hAnsi="Times New Roman" w:cs="Times New Roman"/>
                <w:sz w:val="23"/>
              </w:rPr>
              <w:t>-</w:t>
            </w:r>
            <w:r>
              <w:rPr>
                <w:rFonts w:ascii="Arial" w:eastAsia="Arial" w:hAnsi="Arial" w:cs="Arial"/>
                <w:sz w:val="23"/>
              </w:rPr>
              <w:t xml:space="preserve"> </w:t>
            </w:r>
            <w:r>
              <w:rPr>
                <w:rFonts w:ascii="Times New Roman" w:eastAsia="Times New Roman" w:hAnsi="Times New Roman" w:cs="Times New Roman"/>
                <w:sz w:val="23"/>
              </w:rPr>
              <w:t xml:space="preserve">Ida </w:t>
            </w:r>
            <w:proofErr w:type="spellStart"/>
            <w:r>
              <w:rPr>
                <w:rFonts w:ascii="Times New Roman" w:eastAsia="Times New Roman" w:hAnsi="Times New Roman" w:cs="Times New Roman"/>
                <w:sz w:val="23"/>
              </w:rPr>
              <w:t>Raffaelli</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Značenje</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kroz</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vrijeme</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Poglavlja</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iz</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dijahronijske</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semantike</w:t>
            </w:r>
            <w:proofErr w:type="spellEnd"/>
            <w:r>
              <w:rPr>
                <w:rFonts w:ascii="Times New Roman" w:eastAsia="Times New Roman" w:hAnsi="Times New Roman" w:cs="Times New Roman"/>
                <w:sz w:val="23"/>
              </w:rPr>
              <w:t xml:space="preserve">. </w:t>
            </w:r>
            <w:proofErr w:type="spellStart"/>
            <w:r>
              <w:rPr>
                <w:rFonts w:ascii="Times New Roman" w:eastAsia="Times New Roman" w:hAnsi="Times New Roman" w:cs="Times New Roman"/>
                <w:sz w:val="23"/>
              </w:rPr>
              <w:t>Disput</w:t>
            </w:r>
            <w:proofErr w:type="spellEnd"/>
            <w:r>
              <w:rPr>
                <w:rFonts w:ascii="Times New Roman" w:eastAsia="Times New Roman" w:hAnsi="Times New Roman" w:cs="Times New Roman"/>
                <w:sz w:val="23"/>
              </w:rPr>
              <w:t xml:space="preserve">, Zagreb 2009. </w:t>
            </w:r>
            <w:r>
              <w:rPr>
                <w:rFonts w:ascii="Times New Roman" w:eastAsia="Times New Roman" w:hAnsi="Times New Roman" w:cs="Times New Roman"/>
                <w:i/>
                <w:sz w:val="23"/>
              </w:rPr>
              <w:t xml:space="preserve"> </w:t>
            </w:r>
          </w:p>
          <w:p w:rsidR="00BE04F8" w:rsidRDefault="00962E9A">
            <w:r>
              <w:rPr>
                <w:rFonts w:ascii="Times New Roman" w:eastAsia="Times New Roman" w:hAnsi="Times New Roman" w:cs="Times New Roman"/>
                <w:sz w:val="21"/>
              </w:rPr>
              <w:t xml:space="preserve"> </w:t>
            </w:r>
          </w:p>
        </w:tc>
      </w:tr>
      <w:tr w:rsidR="0006112A" w:rsidTr="0006112A">
        <w:tblPrEx>
          <w:tblCellMar>
            <w:top w:w="42" w:type="dxa"/>
            <w:left w:w="54" w:type="dxa"/>
            <w:right w:w="62" w:type="dxa"/>
          </w:tblCellMar>
        </w:tblPrEx>
        <w:trPr>
          <w:gridBefore w:val="1"/>
          <w:gridAfter w:val="1"/>
          <w:wBefore w:w="48" w:type="dxa"/>
          <w:wAfter w:w="47" w:type="dxa"/>
          <w:trHeight w:val="255"/>
        </w:trPr>
        <w:tc>
          <w:tcPr>
            <w:tcW w:w="9291" w:type="dxa"/>
            <w:gridSpan w:val="6"/>
            <w:tcBorders>
              <w:top w:val="single" w:sz="4" w:space="0" w:color="000000"/>
              <w:left w:val="single" w:sz="4" w:space="0" w:color="000000"/>
              <w:bottom w:val="single" w:sz="2" w:space="0" w:color="000000"/>
              <w:right w:val="single" w:sz="4" w:space="0" w:color="000000"/>
            </w:tcBorders>
            <w:shd w:val="clear" w:color="auto" w:fill="B3B3B3"/>
          </w:tcPr>
          <w:p w:rsidR="0006112A" w:rsidRDefault="0006112A" w:rsidP="0006112A">
            <w:r w:rsidRPr="00094DF8">
              <w:rPr>
                <w:rFonts w:ascii="Times New Roman" w:eastAsia="Times New Roman" w:hAnsi="Times New Roman" w:cs="Times New Roman"/>
                <w:b/>
                <w:sz w:val="21"/>
              </w:rPr>
              <w:t>Forms of knowledge testing and assessment</w:t>
            </w:r>
            <w:r>
              <w:rPr>
                <w:rFonts w:ascii="Times New Roman" w:eastAsia="Times New Roman" w:hAnsi="Times New Roman" w:cs="Times New Roman"/>
                <w:b/>
                <w:sz w:val="21"/>
              </w:rPr>
              <w:t>:</w:t>
            </w:r>
            <w:r>
              <w:rPr>
                <w:rFonts w:ascii="Times New Roman" w:eastAsia="Times New Roman" w:hAnsi="Times New Roman" w:cs="Times New Roman"/>
                <w:sz w:val="25"/>
              </w:rPr>
              <w:t xml:space="preserve"> </w:t>
            </w:r>
          </w:p>
        </w:tc>
      </w:tr>
      <w:tr w:rsidR="00BE04F8" w:rsidTr="0006112A">
        <w:tblPrEx>
          <w:tblCellMar>
            <w:top w:w="42" w:type="dxa"/>
            <w:left w:w="54" w:type="dxa"/>
            <w:right w:w="62" w:type="dxa"/>
          </w:tblCellMar>
        </w:tblPrEx>
        <w:trPr>
          <w:gridBefore w:val="1"/>
          <w:gridAfter w:val="1"/>
          <w:wBefore w:w="48" w:type="dxa"/>
          <w:wAfter w:w="47" w:type="dxa"/>
          <w:trHeight w:val="257"/>
        </w:trPr>
        <w:tc>
          <w:tcPr>
            <w:tcW w:w="9291" w:type="dxa"/>
            <w:gridSpan w:val="6"/>
            <w:tcBorders>
              <w:top w:val="single" w:sz="2" w:space="0" w:color="000000"/>
              <w:left w:val="single" w:sz="4" w:space="0" w:color="000000"/>
              <w:bottom w:val="single" w:sz="4" w:space="0" w:color="000000"/>
              <w:right w:val="single" w:sz="4" w:space="0" w:color="000000"/>
            </w:tcBorders>
          </w:tcPr>
          <w:p w:rsidR="00BE04F8" w:rsidRDefault="0006112A">
            <w:r w:rsidRPr="0006112A">
              <w:rPr>
                <w:rFonts w:ascii="Times New Roman" w:eastAsia="Times New Roman" w:hAnsi="Times New Roman" w:cs="Times New Roman"/>
                <w:sz w:val="21"/>
              </w:rPr>
              <w:t>Oral exam and seminar paper</w:t>
            </w:r>
          </w:p>
        </w:tc>
      </w:tr>
      <w:tr w:rsidR="00BE04F8">
        <w:tblPrEx>
          <w:tblCellMar>
            <w:top w:w="42" w:type="dxa"/>
            <w:left w:w="54" w:type="dxa"/>
            <w:right w:w="62" w:type="dxa"/>
          </w:tblCellMar>
        </w:tblPrEx>
        <w:trPr>
          <w:gridBefore w:val="1"/>
          <w:gridAfter w:val="1"/>
          <w:wBefore w:w="48" w:type="dxa"/>
          <w:wAfter w:w="47" w:type="dxa"/>
          <w:trHeight w:val="259"/>
        </w:trPr>
        <w:tc>
          <w:tcPr>
            <w:tcW w:w="2464" w:type="dxa"/>
            <w:tcBorders>
              <w:top w:val="single" w:sz="4" w:space="0" w:color="000000"/>
              <w:left w:val="single" w:sz="4" w:space="0" w:color="000000"/>
              <w:bottom w:val="single" w:sz="4" w:space="0" w:color="000000"/>
              <w:right w:val="single" w:sz="4" w:space="0" w:color="000000"/>
            </w:tcBorders>
          </w:tcPr>
          <w:p w:rsidR="00BE04F8" w:rsidRDefault="00962E9A">
            <w:r>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BE04F8" w:rsidRDefault="00962E9A">
            <w:pPr>
              <w:ind w:left="52"/>
            </w:pP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1"/>
              </w:rPr>
              <w:t xml:space="preserve"> </w:t>
            </w:r>
          </w:p>
        </w:tc>
        <w:tc>
          <w:tcPr>
            <w:tcW w:w="827"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0"/>
              </w:rPr>
              <w:t xml:space="preserve"> </w:t>
            </w:r>
          </w:p>
        </w:tc>
      </w:tr>
      <w:tr w:rsidR="00BE04F8">
        <w:tblPrEx>
          <w:tblCellMar>
            <w:top w:w="42" w:type="dxa"/>
            <w:left w:w="54" w:type="dxa"/>
            <w:right w:w="62" w:type="dxa"/>
          </w:tblCellMar>
        </w:tblPrEx>
        <w:trPr>
          <w:gridBefore w:val="1"/>
          <w:gridAfter w:val="1"/>
          <w:wBefore w:w="48" w:type="dxa"/>
          <w:wAfter w:w="47" w:type="dxa"/>
          <w:trHeight w:val="253"/>
        </w:trPr>
        <w:tc>
          <w:tcPr>
            <w:tcW w:w="2464" w:type="dxa"/>
            <w:tcBorders>
              <w:top w:val="single" w:sz="4" w:space="0" w:color="000000"/>
              <w:left w:val="single" w:sz="4" w:space="0" w:color="000000"/>
              <w:bottom w:val="single" w:sz="4" w:space="0" w:color="000000"/>
              <w:right w:val="single" w:sz="4" w:space="0" w:color="000000"/>
            </w:tcBorders>
          </w:tcPr>
          <w:p w:rsidR="00BE04F8" w:rsidRDefault="00962E9A">
            <w:r>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BE04F8" w:rsidRDefault="00962E9A">
            <w:pPr>
              <w:ind w:left="52"/>
            </w:pPr>
            <w:r>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1"/>
              </w:rPr>
              <w:t xml:space="preserve"> </w:t>
            </w:r>
          </w:p>
        </w:tc>
        <w:tc>
          <w:tcPr>
            <w:tcW w:w="827" w:type="dxa"/>
            <w:tcBorders>
              <w:top w:val="single" w:sz="4" w:space="0" w:color="000000"/>
              <w:left w:val="single" w:sz="4" w:space="0" w:color="000000"/>
              <w:bottom w:val="single" w:sz="4" w:space="0" w:color="000000"/>
              <w:right w:val="single" w:sz="4" w:space="0" w:color="000000"/>
            </w:tcBorders>
          </w:tcPr>
          <w:p w:rsidR="00BE04F8" w:rsidRDefault="00962E9A">
            <w:pPr>
              <w:ind w:left="47"/>
            </w:pPr>
            <w:r>
              <w:rPr>
                <w:rFonts w:ascii="Times New Roman" w:eastAsia="Times New Roman" w:hAnsi="Times New Roman" w:cs="Times New Roman"/>
                <w:sz w:val="21"/>
              </w:rPr>
              <w:t xml:space="preserve"> </w:t>
            </w:r>
          </w:p>
        </w:tc>
      </w:tr>
      <w:tr w:rsidR="00BE04F8" w:rsidTr="0006112A">
        <w:tblPrEx>
          <w:tblCellMar>
            <w:top w:w="42" w:type="dxa"/>
            <w:left w:w="54" w:type="dxa"/>
            <w:right w:w="62" w:type="dxa"/>
          </w:tblCellMar>
        </w:tblPrEx>
        <w:trPr>
          <w:gridBefore w:val="1"/>
          <w:gridAfter w:val="1"/>
          <w:wBefore w:w="48" w:type="dxa"/>
          <w:wAfter w:w="47" w:type="dxa"/>
          <w:trHeight w:val="254"/>
        </w:trPr>
        <w:tc>
          <w:tcPr>
            <w:tcW w:w="9291" w:type="dxa"/>
            <w:gridSpan w:val="6"/>
            <w:tcBorders>
              <w:top w:val="single" w:sz="4" w:space="0" w:color="000000"/>
              <w:left w:val="single" w:sz="4" w:space="0" w:color="000000"/>
              <w:bottom w:val="single" w:sz="4" w:space="0" w:color="000000"/>
              <w:right w:val="single" w:sz="4" w:space="0" w:color="000000"/>
            </w:tcBorders>
            <w:shd w:val="clear" w:color="auto" w:fill="B3B3B3"/>
          </w:tcPr>
          <w:p w:rsidR="00BE04F8" w:rsidRDefault="0006112A">
            <w:r>
              <w:rPr>
                <w:rFonts w:ascii="Times New Roman" w:eastAsia="Times New Roman" w:hAnsi="Times New Roman" w:cs="Times New Roman"/>
                <w:b/>
                <w:sz w:val="21"/>
              </w:rPr>
              <w:t>Special indication for the subject:</w:t>
            </w:r>
          </w:p>
        </w:tc>
      </w:tr>
      <w:tr w:rsidR="00BE04F8" w:rsidTr="0006112A">
        <w:tblPrEx>
          <w:tblCellMar>
            <w:top w:w="42" w:type="dxa"/>
            <w:left w:w="54" w:type="dxa"/>
            <w:right w:w="62" w:type="dxa"/>
          </w:tblCellMar>
        </w:tblPrEx>
        <w:trPr>
          <w:gridBefore w:val="1"/>
          <w:gridAfter w:val="1"/>
          <w:wBefore w:w="48" w:type="dxa"/>
          <w:wAfter w:w="47" w:type="dxa"/>
          <w:trHeight w:val="257"/>
        </w:trPr>
        <w:tc>
          <w:tcPr>
            <w:tcW w:w="9291" w:type="dxa"/>
            <w:gridSpan w:val="6"/>
            <w:tcBorders>
              <w:top w:val="single" w:sz="4" w:space="0" w:color="000000"/>
              <w:left w:val="single" w:sz="4" w:space="0" w:color="000000"/>
              <w:bottom w:val="single" w:sz="4" w:space="0" w:color="000000"/>
              <w:right w:val="single" w:sz="4" w:space="0" w:color="000000"/>
            </w:tcBorders>
          </w:tcPr>
          <w:p w:rsidR="00BE04F8" w:rsidRDefault="00962E9A">
            <w:r>
              <w:rPr>
                <w:rFonts w:ascii="Times New Roman" w:eastAsia="Times New Roman" w:hAnsi="Times New Roman" w:cs="Times New Roman"/>
                <w:sz w:val="21"/>
              </w:rPr>
              <w:t xml:space="preserve"> </w:t>
            </w:r>
          </w:p>
        </w:tc>
      </w:tr>
      <w:tr w:rsidR="00BE04F8" w:rsidTr="0006112A">
        <w:tblPrEx>
          <w:tblCellMar>
            <w:top w:w="42" w:type="dxa"/>
            <w:left w:w="54" w:type="dxa"/>
            <w:right w:w="62" w:type="dxa"/>
          </w:tblCellMar>
        </w:tblPrEx>
        <w:trPr>
          <w:gridBefore w:val="1"/>
          <w:gridAfter w:val="1"/>
          <w:wBefore w:w="48" w:type="dxa"/>
          <w:wAfter w:w="47" w:type="dxa"/>
          <w:trHeight w:val="257"/>
        </w:trPr>
        <w:tc>
          <w:tcPr>
            <w:tcW w:w="9291" w:type="dxa"/>
            <w:gridSpan w:val="6"/>
            <w:tcBorders>
              <w:top w:val="single" w:sz="4" w:space="0" w:color="000000"/>
              <w:left w:val="single" w:sz="4" w:space="0" w:color="000000"/>
              <w:bottom w:val="single" w:sz="4" w:space="0" w:color="000000"/>
              <w:right w:val="single" w:sz="4" w:space="0" w:color="000000"/>
            </w:tcBorders>
            <w:shd w:val="clear" w:color="auto" w:fill="B3B3B3"/>
          </w:tcPr>
          <w:p w:rsidR="00BE04F8" w:rsidRDefault="0006112A">
            <w:r>
              <w:rPr>
                <w:rFonts w:ascii="Times New Roman" w:eastAsia="Times New Roman" w:hAnsi="Times New Roman" w:cs="Times New Roman"/>
                <w:b/>
                <w:sz w:val="21"/>
              </w:rPr>
              <w:t>Name and surname of the professor</w:t>
            </w:r>
            <w:r w:rsidRPr="0006112A">
              <w:rPr>
                <w:rFonts w:ascii="Times New Roman" w:eastAsia="Times New Roman" w:hAnsi="Times New Roman" w:cs="Times New Roman"/>
                <w:b/>
                <w:sz w:val="21"/>
              </w:rPr>
              <w:t xml:space="preserve"> who prepared the data: prof. Dr. </w:t>
            </w:r>
            <w:proofErr w:type="spellStart"/>
            <w:r w:rsidRPr="0006112A">
              <w:rPr>
                <w:rFonts w:ascii="Times New Roman" w:eastAsia="Times New Roman" w:hAnsi="Times New Roman" w:cs="Times New Roman"/>
                <w:b/>
                <w:sz w:val="21"/>
              </w:rPr>
              <w:t>Zorica</w:t>
            </w:r>
            <w:proofErr w:type="spellEnd"/>
            <w:r w:rsidRPr="0006112A">
              <w:rPr>
                <w:rFonts w:ascii="Times New Roman" w:eastAsia="Times New Roman" w:hAnsi="Times New Roman" w:cs="Times New Roman"/>
                <w:b/>
                <w:sz w:val="21"/>
              </w:rPr>
              <w:t xml:space="preserve"> </w:t>
            </w:r>
            <w:proofErr w:type="spellStart"/>
            <w:r w:rsidRPr="0006112A">
              <w:rPr>
                <w:rFonts w:ascii="Times New Roman" w:eastAsia="Times New Roman" w:hAnsi="Times New Roman" w:cs="Times New Roman"/>
                <w:b/>
                <w:sz w:val="21"/>
              </w:rPr>
              <w:t>Nikitović</w:t>
            </w:r>
            <w:proofErr w:type="spellEnd"/>
          </w:p>
        </w:tc>
      </w:tr>
    </w:tbl>
    <w:p w:rsidR="00BE04F8" w:rsidRDefault="00962E9A">
      <w:pPr>
        <w:spacing w:after="107"/>
        <w:ind w:left="312"/>
        <w:jc w:val="both"/>
      </w:pPr>
      <w:r>
        <w:rPr>
          <w:rFonts w:ascii="Times New Roman" w:eastAsia="Times New Roman" w:hAnsi="Times New Roman" w:cs="Times New Roman"/>
          <w:b/>
          <w:sz w:val="27"/>
        </w:rPr>
        <w:t xml:space="preserve"> </w:t>
      </w:r>
    </w:p>
    <w:p w:rsidR="00BE04F8" w:rsidRDefault="00962E9A">
      <w:pPr>
        <w:spacing w:after="0"/>
        <w:ind w:left="312"/>
        <w:jc w:val="both"/>
      </w:pPr>
      <w:r>
        <w:rPr>
          <w:rFonts w:ascii="Times New Roman" w:eastAsia="Times New Roman" w:hAnsi="Times New Roman" w:cs="Times New Roman"/>
          <w:sz w:val="25"/>
        </w:rPr>
        <w:t xml:space="preserve"> </w:t>
      </w:r>
    </w:p>
    <w:sectPr w:rsidR="00BE04F8">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4F9"/>
    <w:multiLevelType w:val="hybridMultilevel"/>
    <w:tmpl w:val="832210E8"/>
    <w:lvl w:ilvl="0" w:tplc="045A52BE">
      <w:start w:val="1"/>
      <w:numFmt w:val="bullet"/>
      <w:lvlText w:val="-"/>
      <w:lvlJc w:val="left"/>
      <w:pPr>
        <w:ind w:left="10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83A2ED0">
      <w:start w:val="1"/>
      <w:numFmt w:val="bullet"/>
      <w:lvlText w:val="o"/>
      <w:lvlJc w:val="left"/>
      <w:pPr>
        <w:ind w:left="18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A6E8C92">
      <w:start w:val="1"/>
      <w:numFmt w:val="bullet"/>
      <w:lvlText w:val="▪"/>
      <w:lvlJc w:val="left"/>
      <w:pPr>
        <w:ind w:left="26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02B2FE">
      <w:start w:val="1"/>
      <w:numFmt w:val="bullet"/>
      <w:lvlText w:val="•"/>
      <w:lvlJc w:val="left"/>
      <w:pPr>
        <w:ind w:left="33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D3A13A0">
      <w:start w:val="1"/>
      <w:numFmt w:val="bullet"/>
      <w:lvlText w:val="o"/>
      <w:lvlJc w:val="left"/>
      <w:pPr>
        <w:ind w:left="40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4047858">
      <w:start w:val="1"/>
      <w:numFmt w:val="bullet"/>
      <w:lvlText w:val="▪"/>
      <w:lvlJc w:val="left"/>
      <w:pPr>
        <w:ind w:left="47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BEF378">
      <w:start w:val="1"/>
      <w:numFmt w:val="bullet"/>
      <w:lvlText w:val="•"/>
      <w:lvlJc w:val="left"/>
      <w:pPr>
        <w:ind w:left="5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F655B2">
      <w:start w:val="1"/>
      <w:numFmt w:val="bullet"/>
      <w:lvlText w:val="o"/>
      <w:lvlJc w:val="left"/>
      <w:pPr>
        <w:ind w:left="62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94F8F2">
      <w:start w:val="1"/>
      <w:numFmt w:val="bullet"/>
      <w:lvlText w:val="▪"/>
      <w:lvlJc w:val="left"/>
      <w:pPr>
        <w:ind w:left="69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67F56300"/>
    <w:multiLevelType w:val="hybridMultilevel"/>
    <w:tmpl w:val="6BDE8452"/>
    <w:lvl w:ilvl="0" w:tplc="A6B03C00">
      <w:start w:val="1"/>
      <w:numFmt w:val="bullet"/>
      <w:lvlText w:val="-"/>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F2D382">
      <w:start w:val="1"/>
      <w:numFmt w:val="bullet"/>
      <w:lvlText w:val="o"/>
      <w:lvlJc w:val="left"/>
      <w:pPr>
        <w:ind w:left="17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6C090A">
      <w:start w:val="1"/>
      <w:numFmt w:val="bullet"/>
      <w:lvlText w:val="▪"/>
      <w:lvlJc w:val="left"/>
      <w:pPr>
        <w:ind w:left="24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F7891E0">
      <w:start w:val="1"/>
      <w:numFmt w:val="bullet"/>
      <w:lvlText w:val="•"/>
      <w:lvlJc w:val="left"/>
      <w:pPr>
        <w:ind w:left="3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3A813A">
      <w:start w:val="1"/>
      <w:numFmt w:val="bullet"/>
      <w:lvlText w:val="o"/>
      <w:lvlJc w:val="left"/>
      <w:pPr>
        <w:ind w:left="3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BAD8DA">
      <w:start w:val="1"/>
      <w:numFmt w:val="bullet"/>
      <w:lvlText w:val="▪"/>
      <w:lvlJc w:val="left"/>
      <w:pPr>
        <w:ind w:left="4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FF4C5DA">
      <w:start w:val="1"/>
      <w:numFmt w:val="bullet"/>
      <w:lvlText w:val="•"/>
      <w:lvlJc w:val="left"/>
      <w:pPr>
        <w:ind w:left="5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A9292B8">
      <w:start w:val="1"/>
      <w:numFmt w:val="bullet"/>
      <w:lvlText w:val="o"/>
      <w:lvlJc w:val="left"/>
      <w:pPr>
        <w:ind w:left="6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0C8B7F2">
      <w:start w:val="1"/>
      <w:numFmt w:val="bullet"/>
      <w:lvlText w:val="▪"/>
      <w:lvlJc w:val="left"/>
      <w:pPr>
        <w:ind w:left="6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759A626E"/>
    <w:multiLevelType w:val="hybridMultilevel"/>
    <w:tmpl w:val="D59C7938"/>
    <w:lvl w:ilvl="0" w:tplc="E3D64ABC">
      <w:start w:val="1"/>
      <w:numFmt w:val="bullet"/>
      <w:lvlText w:val="-"/>
      <w:lvlJc w:val="left"/>
      <w:pPr>
        <w:ind w:left="1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566DA56">
      <w:start w:val="1"/>
      <w:numFmt w:val="bullet"/>
      <w:lvlText w:val="o"/>
      <w:lvlJc w:val="left"/>
      <w:pPr>
        <w:ind w:left="18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D86002">
      <w:start w:val="1"/>
      <w:numFmt w:val="bullet"/>
      <w:lvlText w:val="▪"/>
      <w:lvlJc w:val="left"/>
      <w:pPr>
        <w:ind w:left="26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5AE1B6C">
      <w:start w:val="1"/>
      <w:numFmt w:val="bullet"/>
      <w:lvlText w:val="•"/>
      <w:lvlJc w:val="left"/>
      <w:pPr>
        <w:ind w:left="33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B08B52C">
      <w:start w:val="1"/>
      <w:numFmt w:val="bullet"/>
      <w:lvlText w:val="o"/>
      <w:lvlJc w:val="left"/>
      <w:pPr>
        <w:ind w:left="40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B40B9A">
      <w:start w:val="1"/>
      <w:numFmt w:val="bullet"/>
      <w:lvlText w:val="▪"/>
      <w:lvlJc w:val="left"/>
      <w:pPr>
        <w:ind w:left="476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FF66AC8">
      <w:start w:val="1"/>
      <w:numFmt w:val="bullet"/>
      <w:lvlText w:val="•"/>
      <w:lvlJc w:val="left"/>
      <w:pPr>
        <w:ind w:left="548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FC2C2E">
      <w:start w:val="1"/>
      <w:numFmt w:val="bullet"/>
      <w:lvlText w:val="o"/>
      <w:lvlJc w:val="left"/>
      <w:pPr>
        <w:ind w:left="62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1A1764">
      <w:start w:val="1"/>
      <w:numFmt w:val="bullet"/>
      <w:lvlText w:val="▪"/>
      <w:lvlJc w:val="left"/>
      <w:pPr>
        <w:ind w:left="692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71F43C7"/>
    <w:multiLevelType w:val="hybridMultilevel"/>
    <w:tmpl w:val="C862D02A"/>
    <w:lvl w:ilvl="0" w:tplc="045A52BE">
      <w:start w:val="1"/>
      <w:numFmt w:val="bullet"/>
      <w:lvlText w:val="-"/>
      <w:lvlJc w:val="left"/>
      <w:pPr>
        <w:ind w:left="1829"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2549" w:hanging="360"/>
      </w:pPr>
      <w:rPr>
        <w:rFonts w:ascii="Courier New" w:hAnsi="Courier New" w:cs="Courier New" w:hint="default"/>
      </w:rPr>
    </w:lvl>
    <w:lvl w:ilvl="2" w:tplc="04090005" w:tentative="1">
      <w:start w:val="1"/>
      <w:numFmt w:val="bullet"/>
      <w:lvlText w:val=""/>
      <w:lvlJc w:val="left"/>
      <w:pPr>
        <w:ind w:left="3269" w:hanging="360"/>
      </w:pPr>
      <w:rPr>
        <w:rFonts w:ascii="Wingdings" w:hAnsi="Wingdings" w:hint="default"/>
      </w:rPr>
    </w:lvl>
    <w:lvl w:ilvl="3" w:tplc="04090001" w:tentative="1">
      <w:start w:val="1"/>
      <w:numFmt w:val="bullet"/>
      <w:lvlText w:val=""/>
      <w:lvlJc w:val="left"/>
      <w:pPr>
        <w:ind w:left="3989" w:hanging="360"/>
      </w:pPr>
      <w:rPr>
        <w:rFonts w:ascii="Symbol" w:hAnsi="Symbol" w:hint="default"/>
      </w:rPr>
    </w:lvl>
    <w:lvl w:ilvl="4" w:tplc="04090003" w:tentative="1">
      <w:start w:val="1"/>
      <w:numFmt w:val="bullet"/>
      <w:lvlText w:val="o"/>
      <w:lvlJc w:val="left"/>
      <w:pPr>
        <w:ind w:left="4709" w:hanging="360"/>
      </w:pPr>
      <w:rPr>
        <w:rFonts w:ascii="Courier New" w:hAnsi="Courier New" w:cs="Courier New" w:hint="default"/>
      </w:rPr>
    </w:lvl>
    <w:lvl w:ilvl="5" w:tplc="04090005" w:tentative="1">
      <w:start w:val="1"/>
      <w:numFmt w:val="bullet"/>
      <w:lvlText w:val=""/>
      <w:lvlJc w:val="left"/>
      <w:pPr>
        <w:ind w:left="5429" w:hanging="360"/>
      </w:pPr>
      <w:rPr>
        <w:rFonts w:ascii="Wingdings" w:hAnsi="Wingdings" w:hint="default"/>
      </w:rPr>
    </w:lvl>
    <w:lvl w:ilvl="6" w:tplc="04090001" w:tentative="1">
      <w:start w:val="1"/>
      <w:numFmt w:val="bullet"/>
      <w:lvlText w:val=""/>
      <w:lvlJc w:val="left"/>
      <w:pPr>
        <w:ind w:left="6149" w:hanging="360"/>
      </w:pPr>
      <w:rPr>
        <w:rFonts w:ascii="Symbol" w:hAnsi="Symbol" w:hint="default"/>
      </w:rPr>
    </w:lvl>
    <w:lvl w:ilvl="7" w:tplc="04090003" w:tentative="1">
      <w:start w:val="1"/>
      <w:numFmt w:val="bullet"/>
      <w:lvlText w:val="o"/>
      <w:lvlJc w:val="left"/>
      <w:pPr>
        <w:ind w:left="6869" w:hanging="360"/>
      </w:pPr>
      <w:rPr>
        <w:rFonts w:ascii="Courier New" w:hAnsi="Courier New" w:cs="Courier New" w:hint="default"/>
      </w:rPr>
    </w:lvl>
    <w:lvl w:ilvl="8" w:tplc="04090005" w:tentative="1">
      <w:start w:val="1"/>
      <w:numFmt w:val="bullet"/>
      <w:lvlText w:val=""/>
      <w:lvlJc w:val="left"/>
      <w:pPr>
        <w:ind w:left="7589" w:hanging="360"/>
      </w:pPr>
      <w:rPr>
        <w:rFonts w:ascii="Wingdings" w:hAnsi="Wingdings" w:hint="default"/>
      </w:rPr>
    </w:lvl>
  </w:abstractNum>
  <w:abstractNum w:abstractNumId="4" w15:restartNumberingAfterBreak="0">
    <w:nsid w:val="7F3A2D08"/>
    <w:multiLevelType w:val="hybridMultilevel"/>
    <w:tmpl w:val="6BC4DF12"/>
    <w:lvl w:ilvl="0" w:tplc="045A52BE">
      <w:start w:val="1"/>
      <w:numFmt w:val="bullet"/>
      <w:lvlText w:val="-"/>
      <w:lvlJc w:val="left"/>
      <w:pPr>
        <w:ind w:left="1256"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F8"/>
    <w:rsid w:val="0006112A"/>
    <w:rsid w:val="004D7830"/>
    <w:rsid w:val="007F4E52"/>
    <w:rsid w:val="009126BC"/>
    <w:rsid w:val="00962E9A"/>
    <w:rsid w:val="00BE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FCE2A-37FE-40B9-BC37-B7D63061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6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2024-02-15T08:19:00Z</dcterms:created>
  <dcterms:modified xsi:type="dcterms:W3CDTF">2024-02-19T07:40:00Z</dcterms:modified>
</cp:coreProperties>
</file>