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144" w:type="dxa"/>
        <w:tblLook w:val="04A0" w:firstRow="1" w:lastRow="0" w:firstColumn="1" w:lastColumn="0" w:noHBand="0" w:noVBand="1"/>
      </w:tblPr>
      <w:tblGrid>
        <w:gridCol w:w="570"/>
        <w:gridCol w:w="1118"/>
        <w:gridCol w:w="89"/>
        <w:gridCol w:w="89"/>
        <w:gridCol w:w="391"/>
        <w:gridCol w:w="593"/>
        <w:gridCol w:w="6540"/>
      </w:tblGrid>
      <w:tr w:rsidR="006E2742" w:rsidRPr="006E2742">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87273D" w:rsidRPr="006E2742" w:rsidRDefault="0087273D">
            <w:pPr>
              <w:rPr>
                <w:rFonts w:ascii="Times New Roman" w:hAnsi="Times New Roman" w:cs="Times New Roman"/>
              </w:rPr>
            </w:pPr>
          </w:p>
        </w:tc>
        <w:tc>
          <w:tcPr>
            <w:tcW w:w="494" w:type="dxa"/>
            <w:vMerge w:val="restart"/>
            <w:tcBorders>
              <w:top w:val="single" w:sz="4" w:space="0" w:color="000000"/>
              <w:left w:val="single" w:sz="2" w:space="0" w:color="FFFFFF"/>
              <w:bottom w:val="single" w:sz="4" w:space="0" w:color="000000"/>
              <w:right w:val="nil"/>
            </w:tcBorders>
          </w:tcPr>
          <w:p w:rsidR="0087273D" w:rsidRPr="006E2742" w:rsidRDefault="006F08FE">
            <w:pPr>
              <w:rPr>
                <w:rFonts w:ascii="Times New Roman" w:hAnsi="Times New Roman" w:cs="Times New Roman"/>
              </w:rPr>
            </w:pPr>
            <w:bookmarkStart w:id="0" w:name="_GoBack"/>
            <w:bookmarkEnd w:id="0"/>
            <w:r w:rsidRPr="006E2742">
              <w:rPr>
                <w:rFonts w:ascii="Times New Roman" w:eastAsia="Times New Roman" w:hAnsi="Times New Roman" w:cs="Times New Roman"/>
                <w:color w:val="0000FF"/>
                <w:sz w:val="10"/>
              </w:rPr>
              <w:t xml:space="preserve"> </w:t>
            </w:r>
            <w:r w:rsidR="002661B0" w:rsidRPr="006E2742">
              <w:rPr>
                <w:rFonts w:ascii="Times New Roman" w:hAnsi="Times New Roman" w:cs="Times New Roman"/>
                <w:noProof/>
              </w:rPr>
              <w:drawing>
                <wp:inline distT="0" distB="0" distL="0" distR="0" wp14:anchorId="1904BD57" wp14:editId="65E0634F">
                  <wp:extent cx="707136" cy="70713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07136" cy="707136"/>
                          </a:xfrm>
                          <a:prstGeom prst="rect">
                            <a:avLst/>
                          </a:prstGeom>
                        </pic:spPr>
                      </pic:pic>
                    </a:graphicData>
                  </a:graphic>
                </wp:inline>
              </w:drawing>
            </w:r>
            <w:r w:rsidRPr="006E2742">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87273D" w:rsidRPr="006E2742" w:rsidRDefault="0087273D">
            <w:pPr>
              <w:rPr>
                <w:rFonts w:ascii="Times New Roman" w:hAnsi="Times New Roman" w:cs="Times New Roman"/>
              </w:rPr>
            </w:pPr>
          </w:p>
        </w:tc>
        <w:tc>
          <w:tcPr>
            <w:tcW w:w="98" w:type="dxa"/>
            <w:tcBorders>
              <w:top w:val="single" w:sz="4" w:space="0" w:color="000000"/>
              <w:left w:val="double" w:sz="2" w:space="0" w:color="0000FF"/>
              <w:bottom w:val="single" w:sz="2" w:space="0" w:color="0000FF"/>
              <w:right w:val="single" w:sz="2" w:space="0" w:color="0000FF"/>
            </w:tcBorders>
          </w:tcPr>
          <w:p w:rsidR="0087273D" w:rsidRPr="006E2742" w:rsidRDefault="0087273D">
            <w:pPr>
              <w:rPr>
                <w:rFonts w:ascii="Times New Roman" w:hAnsi="Times New Roman" w:cs="Times New Roman"/>
              </w:rPr>
            </w:pPr>
          </w:p>
        </w:tc>
        <w:tc>
          <w:tcPr>
            <w:tcW w:w="422" w:type="dxa"/>
            <w:vMerge w:val="restart"/>
            <w:tcBorders>
              <w:top w:val="single" w:sz="4" w:space="0" w:color="000000"/>
              <w:left w:val="nil"/>
              <w:bottom w:val="single" w:sz="4" w:space="0" w:color="000000"/>
              <w:right w:val="single" w:sz="2" w:space="0" w:color="FFFFFF"/>
            </w:tcBorders>
          </w:tcPr>
          <w:p w:rsidR="0087273D" w:rsidRPr="006E2742" w:rsidRDefault="006F08FE">
            <w:pPr>
              <w:ind w:left="120"/>
              <w:jc w:val="center"/>
              <w:rPr>
                <w:rFonts w:ascii="Times New Roman" w:hAnsi="Times New Roman" w:cs="Times New Roman"/>
              </w:rPr>
            </w:pPr>
            <w:r w:rsidRPr="006E2742">
              <w:rPr>
                <w:rFonts w:ascii="Times New Roman" w:eastAsia="Times New Roman" w:hAnsi="Times New Roman" w:cs="Times New Roman"/>
                <w:sz w:val="10"/>
              </w:rPr>
              <w:t xml:space="preserve"> </w:t>
            </w:r>
          </w:p>
        </w:tc>
        <w:tc>
          <w:tcPr>
            <w:tcW w:w="7643" w:type="dxa"/>
            <w:gridSpan w:val="2"/>
            <w:vMerge w:val="restart"/>
            <w:tcBorders>
              <w:top w:val="single" w:sz="4" w:space="0" w:color="000000"/>
              <w:left w:val="single" w:sz="2" w:space="0" w:color="FFFFFF"/>
              <w:bottom w:val="single" w:sz="4" w:space="0" w:color="000000"/>
              <w:right w:val="single" w:sz="4" w:space="0" w:color="000000"/>
            </w:tcBorders>
            <w:vAlign w:val="bottom"/>
          </w:tcPr>
          <w:p w:rsidR="0087273D" w:rsidRPr="006E2742" w:rsidRDefault="002661B0">
            <w:pPr>
              <w:ind w:left="1080"/>
              <w:rPr>
                <w:rFonts w:ascii="Times New Roman" w:hAnsi="Times New Roman" w:cs="Times New Roman"/>
              </w:rPr>
            </w:pPr>
            <w:r w:rsidRPr="006E2742">
              <w:rPr>
                <w:rFonts w:ascii="Times New Roman" w:eastAsia="Times New Roman" w:hAnsi="Times New Roman" w:cs="Times New Roman"/>
                <w:b/>
                <w:sz w:val="23"/>
              </w:rPr>
              <w:t>UNIVERSITY OF BANJA LUKA</w:t>
            </w:r>
            <w:r w:rsidR="006F08FE" w:rsidRPr="006E2742">
              <w:rPr>
                <w:rFonts w:ascii="Times New Roman" w:eastAsia="Times New Roman" w:hAnsi="Times New Roman" w:cs="Times New Roman"/>
                <w:b/>
                <w:sz w:val="23"/>
              </w:rPr>
              <w:t xml:space="preserve"> </w:t>
            </w:r>
          </w:p>
          <w:p w:rsidR="0087273D" w:rsidRPr="006E2742" w:rsidRDefault="006F08FE">
            <w:pPr>
              <w:ind w:right="1187"/>
              <w:jc w:val="right"/>
              <w:rPr>
                <w:rFonts w:ascii="Times New Roman" w:hAnsi="Times New Roman" w:cs="Times New Roman"/>
              </w:rPr>
            </w:pPr>
            <w:r w:rsidRPr="006E2742">
              <w:rPr>
                <w:rFonts w:ascii="Times New Roman" w:eastAsia="Times New Roman" w:hAnsi="Times New Roman" w:cs="Times New Roman"/>
                <w:b/>
                <w:sz w:val="15"/>
              </w:rPr>
              <w:t xml:space="preserve"> </w:t>
            </w:r>
          </w:p>
          <w:p w:rsidR="0087273D" w:rsidRPr="006E2742" w:rsidRDefault="002661B0">
            <w:pPr>
              <w:spacing w:after="53"/>
              <w:ind w:left="1354"/>
              <w:rPr>
                <w:rFonts w:ascii="Times New Roman" w:hAnsi="Times New Roman" w:cs="Times New Roman"/>
              </w:rPr>
            </w:pPr>
            <w:r w:rsidRPr="006E2742">
              <w:rPr>
                <w:rFonts w:ascii="Times New Roman" w:eastAsia="Times New Roman" w:hAnsi="Times New Roman" w:cs="Times New Roman"/>
                <w:b/>
                <w:sz w:val="23"/>
              </w:rPr>
              <w:t>FACULTY OF PHILOLOGY</w:t>
            </w:r>
            <w:r w:rsidR="006F08FE" w:rsidRPr="006E2742">
              <w:rPr>
                <w:rFonts w:ascii="Times New Roman" w:eastAsia="Times New Roman" w:hAnsi="Times New Roman" w:cs="Times New Roman"/>
                <w:b/>
                <w:sz w:val="15"/>
              </w:rPr>
              <w:t xml:space="preserve"> </w:t>
            </w:r>
          </w:p>
          <w:p w:rsidR="0087273D" w:rsidRPr="006E2742" w:rsidRDefault="006F08FE">
            <w:pPr>
              <w:rPr>
                <w:rFonts w:ascii="Times New Roman" w:hAnsi="Times New Roman" w:cs="Times New Roman"/>
              </w:rPr>
            </w:pPr>
            <w:r w:rsidRPr="006E2742">
              <w:rPr>
                <w:rFonts w:ascii="Times New Roman" w:eastAsia="Times New Roman" w:hAnsi="Times New Roman" w:cs="Times New Roman"/>
                <w:sz w:val="25"/>
              </w:rPr>
              <w:t xml:space="preserve"> </w:t>
            </w:r>
          </w:p>
        </w:tc>
      </w:tr>
      <w:tr w:rsidR="006E2742" w:rsidRPr="006E2742">
        <w:trPr>
          <w:trHeight w:val="1016"/>
        </w:trPr>
        <w:tc>
          <w:tcPr>
            <w:tcW w:w="0" w:type="auto"/>
            <w:vMerge/>
            <w:tcBorders>
              <w:top w:val="nil"/>
              <w:left w:val="single" w:sz="4" w:space="0" w:color="000000"/>
              <w:bottom w:val="single" w:sz="4" w:space="0" w:color="000000"/>
              <w:right w:val="single" w:sz="2" w:space="0" w:color="FFFFFF"/>
            </w:tcBorders>
          </w:tcPr>
          <w:p w:rsidR="0087273D" w:rsidRPr="006E2742" w:rsidRDefault="0087273D">
            <w:pPr>
              <w:rPr>
                <w:rFonts w:ascii="Times New Roman" w:hAnsi="Times New Roman" w:cs="Times New Roman"/>
              </w:rPr>
            </w:pPr>
          </w:p>
        </w:tc>
        <w:tc>
          <w:tcPr>
            <w:tcW w:w="0" w:type="auto"/>
            <w:vMerge/>
            <w:tcBorders>
              <w:top w:val="nil"/>
              <w:left w:val="single" w:sz="2" w:space="0" w:color="FFFFFF"/>
              <w:bottom w:val="single" w:sz="4" w:space="0" w:color="000000"/>
              <w:right w:val="nil"/>
            </w:tcBorders>
          </w:tcPr>
          <w:p w:rsidR="0087273D" w:rsidRPr="006E2742" w:rsidRDefault="0087273D">
            <w:pPr>
              <w:rPr>
                <w:rFonts w:ascii="Times New Roman" w:hAnsi="Times New Roman" w:cs="Times New Roman"/>
              </w:rPr>
            </w:pPr>
          </w:p>
        </w:tc>
        <w:tc>
          <w:tcPr>
            <w:tcW w:w="98" w:type="dxa"/>
            <w:tcBorders>
              <w:top w:val="single" w:sz="2" w:space="0" w:color="0000FF"/>
              <w:left w:val="nil"/>
              <w:bottom w:val="single" w:sz="4" w:space="0" w:color="000000"/>
              <w:right w:val="nil"/>
            </w:tcBorders>
          </w:tcPr>
          <w:p w:rsidR="0087273D" w:rsidRPr="006E2742" w:rsidRDefault="0087273D">
            <w:pPr>
              <w:ind w:left="-494" w:right="-521"/>
              <w:rPr>
                <w:rFonts w:ascii="Times New Roman" w:hAnsi="Times New Roman" w:cs="Times New Roman"/>
              </w:rPr>
            </w:pPr>
          </w:p>
        </w:tc>
        <w:tc>
          <w:tcPr>
            <w:tcW w:w="98" w:type="dxa"/>
            <w:tcBorders>
              <w:top w:val="single" w:sz="2" w:space="0" w:color="0000FF"/>
              <w:left w:val="nil"/>
              <w:bottom w:val="single" w:sz="4" w:space="0" w:color="000000"/>
              <w:right w:val="nil"/>
            </w:tcBorders>
          </w:tcPr>
          <w:p w:rsidR="0087273D" w:rsidRPr="006E2742" w:rsidRDefault="0087273D">
            <w:pPr>
              <w:rPr>
                <w:rFonts w:ascii="Times New Roman" w:hAnsi="Times New Roman" w:cs="Times New Roman"/>
              </w:rPr>
            </w:pPr>
          </w:p>
        </w:tc>
        <w:tc>
          <w:tcPr>
            <w:tcW w:w="0" w:type="auto"/>
            <w:vMerge/>
            <w:tcBorders>
              <w:top w:val="nil"/>
              <w:left w:val="nil"/>
              <w:bottom w:val="single" w:sz="4" w:space="0" w:color="000000"/>
              <w:right w:val="single" w:sz="2" w:space="0" w:color="FFFFFF"/>
            </w:tcBorders>
          </w:tcPr>
          <w:p w:rsidR="0087273D" w:rsidRPr="006E2742" w:rsidRDefault="0087273D">
            <w:pPr>
              <w:rPr>
                <w:rFonts w:ascii="Times New Roman" w:hAnsi="Times New Roman" w:cs="Times New Roman"/>
              </w:rPr>
            </w:pPr>
          </w:p>
        </w:tc>
        <w:tc>
          <w:tcPr>
            <w:tcW w:w="0" w:type="auto"/>
            <w:gridSpan w:val="2"/>
            <w:vMerge/>
            <w:tcBorders>
              <w:top w:val="nil"/>
              <w:left w:val="single" w:sz="2" w:space="0" w:color="FFFFFF"/>
              <w:bottom w:val="single" w:sz="4" w:space="0" w:color="000000"/>
              <w:right w:val="single" w:sz="4" w:space="0" w:color="000000"/>
            </w:tcBorders>
          </w:tcPr>
          <w:p w:rsidR="0087273D" w:rsidRPr="006E2742" w:rsidRDefault="0087273D">
            <w:pPr>
              <w:rPr>
                <w:rFonts w:ascii="Times New Roman" w:hAnsi="Times New Roman" w:cs="Times New Roman"/>
              </w:rPr>
            </w:pPr>
          </w:p>
        </w:tc>
      </w:tr>
      <w:tr w:rsidR="006E2742" w:rsidRPr="006E2742">
        <w:trPr>
          <w:trHeight w:val="281"/>
        </w:trPr>
        <w:tc>
          <w:tcPr>
            <w:tcW w:w="1226" w:type="dxa"/>
            <w:gridSpan w:val="3"/>
            <w:tcBorders>
              <w:top w:val="single" w:sz="4" w:space="0" w:color="000000"/>
              <w:left w:val="single" w:sz="4" w:space="0" w:color="000000"/>
              <w:bottom w:val="single" w:sz="4" w:space="0" w:color="000000"/>
              <w:right w:val="nil"/>
            </w:tcBorders>
          </w:tcPr>
          <w:p w:rsidR="0087273D" w:rsidRPr="006E2742" w:rsidRDefault="0087273D">
            <w:pPr>
              <w:rPr>
                <w:rFonts w:ascii="Times New Roman" w:hAnsi="Times New Roman" w:cs="Times New Roman"/>
              </w:rPr>
            </w:pPr>
          </w:p>
        </w:tc>
        <w:tc>
          <w:tcPr>
            <w:tcW w:w="8164" w:type="dxa"/>
            <w:gridSpan w:val="4"/>
            <w:tcBorders>
              <w:top w:val="single" w:sz="4" w:space="0" w:color="000000"/>
              <w:left w:val="nil"/>
              <w:bottom w:val="single" w:sz="4" w:space="0" w:color="000000"/>
              <w:right w:val="single" w:sz="4" w:space="0" w:color="000000"/>
            </w:tcBorders>
          </w:tcPr>
          <w:p w:rsidR="0087273D" w:rsidRPr="006E2742" w:rsidRDefault="006E2742" w:rsidP="006E2742">
            <w:pPr>
              <w:ind w:left="1922"/>
              <w:rPr>
                <w:rFonts w:ascii="Times New Roman" w:hAnsi="Times New Roman" w:cs="Times New Roman"/>
              </w:rPr>
            </w:pPr>
            <w:r w:rsidRPr="006E2742">
              <w:rPr>
                <w:rFonts w:ascii="Times New Roman" w:eastAsia="Times New Roman" w:hAnsi="Times New Roman" w:cs="Times New Roman"/>
                <w:b/>
                <w:sz w:val="23"/>
              </w:rPr>
              <w:t>Doctoral academic studies</w:t>
            </w:r>
            <w:r w:rsidR="006F08FE" w:rsidRPr="006E2742">
              <w:rPr>
                <w:rFonts w:ascii="Times New Roman" w:eastAsia="Times New Roman" w:hAnsi="Times New Roman" w:cs="Times New Roman"/>
                <w:b/>
                <w:sz w:val="23"/>
              </w:rPr>
              <w:t xml:space="preserve"> </w:t>
            </w:r>
          </w:p>
        </w:tc>
      </w:tr>
      <w:tr w:rsidR="006E2742" w:rsidRPr="006E2742">
        <w:trPr>
          <w:trHeight w:val="276"/>
        </w:trPr>
        <w:tc>
          <w:tcPr>
            <w:tcW w:w="1226" w:type="dxa"/>
            <w:gridSpan w:val="3"/>
            <w:tcBorders>
              <w:top w:val="single" w:sz="4" w:space="0" w:color="000000"/>
              <w:left w:val="single" w:sz="4" w:space="0" w:color="000000"/>
              <w:bottom w:val="single" w:sz="4" w:space="0" w:color="000000"/>
              <w:right w:val="nil"/>
            </w:tcBorders>
          </w:tcPr>
          <w:p w:rsidR="0087273D" w:rsidRPr="006E2742" w:rsidRDefault="006E2742" w:rsidP="006E2742">
            <w:pPr>
              <w:ind w:left="106"/>
              <w:jc w:val="both"/>
              <w:rPr>
                <w:rFonts w:ascii="Times New Roman" w:hAnsi="Times New Roman" w:cs="Times New Roman"/>
              </w:rPr>
            </w:pPr>
            <w:r w:rsidRPr="006E2742">
              <w:rPr>
                <w:rFonts w:ascii="Times New Roman" w:eastAsia="Times New Roman" w:hAnsi="Times New Roman" w:cs="Times New Roman"/>
                <w:b/>
                <w:sz w:val="23"/>
              </w:rPr>
              <w:t>Study program</w:t>
            </w:r>
          </w:p>
        </w:tc>
        <w:tc>
          <w:tcPr>
            <w:tcW w:w="1160" w:type="dxa"/>
            <w:gridSpan w:val="3"/>
            <w:tcBorders>
              <w:top w:val="single" w:sz="4" w:space="0" w:color="000000"/>
              <w:left w:val="nil"/>
              <w:bottom w:val="single" w:sz="4" w:space="0" w:color="000000"/>
              <w:right w:val="single" w:sz="4" w:space="0" w:color="000000"/>
            </w:tcBorders>
          </w:tcPr>
          <w:p w:rsidR="0087273D" w:rsidRPr="006E2742" w:rsidRDefault="006F08FE">
            <w:pPr>
              <w:ind w:left="-13"/>
              <w:jc w:val="both"/>
              <w:rPr>
                <w:rFonts w:ascii="Times New Roman" w:hAnsi="Times New Roman" w:cs="Times New Roman"/>
              </w:rPr>
            </w:pPr>
            <w:r w:rsidRPr="006E2742">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87273D" w:rsidRPr="006E2742" w:rsidRDefault="006E2742">
            <w:pPr>
              <w:ind w:left="100"/>
              <w:rPr>
                <w:rFonts w:ascii="Times New Roman" w:hAnsi="Times New Roman" w:cs="Times New Roman"/>
              </w:rPr>
            </w:pPr>
            <w:r w:rsidRPr="006E2742">
              <w:rPr>
                <w:rFonts w:ascii="Times New Roman" w:eastAsia="Times New Roman" w:hAnsi="Times New Roman" w:cs="Times New Roman"/>
                <w:b/>
                <w:sz w:val="23"/>
              </w:rPr>
              <w:t>Science of literature</w:t>
            </w:r>
          </w:p>
        </w:tc>
      </w:tr>
    </w:tbl>
    <w:p w:rsidR="0087273D" w:rsidRPr="006E2742" w:rsidRDefault="006F08FE">
      <w:pPr>
        <w:spacing w:after="0"/>
        <w:ind w:left="-38"/>
        <w:jc w:val="both"/>
        <w:rPr>
          <w:rFonts w:ascii="Times New Roman" w:hAnsi="Times New Roman" w:cs="Times New Roman"/>
        </w:rPr>
      </w:pPr>
      <w:r w:rsidRPr="006E2742">
        <w:rPr>
          <w:rFonts w:ascii="Times New Roman" w:eastAsia="Times New Roman" w:hAnsi="Times New Roman" w:cs="Times New Roman"/>
          <w:sz w:val="25"/>
        </w:rPr>
        <w:t xml:space="preserve"> </w:t>
      </w:r>
    </w:p>
    <w:tbl>
      <w:tblPr>
        <w:tblStyle w:val="TableGrid"/>
        <w:tblW w:w="9386" w:type="dxa"/>
        <w:tblInd w:w="-140" w:type="dxa"/>
        <w:tblCellMar>
          <w:top w:w="47" w:type="dxa"/>
          <w:left w:w="102" w:type="dxa"/>
        </w:tblCellMar>
        <w:tblLook w:val="04A0" w:firstRow="1" w:lastRow="0" w:firstColumn="1" w:lastColumn="0" w:noHBand="0" w:noVBand="1"/>
      </w:tblPr>
      <w:tblGrid>
        <w:gridCol w:w="1796"/>
        <w:gridCol w:w="1800"/>
        <w:gridCol w:w="1589"/>
        <w:gridCol w:w="1574"/>
        <w:gridCol w:w="2627"/>
      </w:tblGrid>
      <w:tr w:rsidR="0087273D" w:rsidRPr="006E2742">
        <w:trPr>
          <w:trHeight w:val="252"/>
        </w:trPr>
        <w:tc>
          <w:tcPr>
            <w:tcW w:w="1796" w:type="dxa"/>
            <w:tcBorders>
              <w:top w:val="single" w:sz="4" w:space="0" w:color="000000"/>
              <w:left w:val="single" w:sz="4" w:space="0" w:color="000000"/>
              <w:bottom w:val="single" w:sz="4" w:space="0" w:color="000000"/>
              <w:right w:val="single" w:sz="4" w:space="0" w:color="000000"/>
            </w:tcBorders>
          </w:tcPr>
          <w:p w:rsidR="0087273D" w:rsidRPr="006E2742" w:rsidRDefault="006E2742">
            <w:pPr>
              <w:jc w:val="both"/>
              <w:rPr>
                <w:rFonts w:ascii="Times New Roman" w:hAnsi="Times New Roman" w:cs="Times New Roman"/>
              </w:rPr>
            </w:pPr>
            <w:r w:rsidRPr="006E2742">
              <w:rPr>
                <w:rFonts w:ascii="Times New Roman" w:eastAsia="Times New Roman" w:hAnsi="Times New Roman" w:cs="Times New Roman"/>
                <w:b/>
                <w:sz w:val="21"/>
              </w:rPr>
              <w:t>Subject</w:t>
            </w:r>
          </w:p>
        </w:tc>
        <w:tc>
          <w:tcPr>
            <w:tcW w:w="3389" w:type="dxa"/>
            <w:gridSpan w:val="2"/>
            <w:tcBorders>
              <w:top w:val="single" w:sz="4" w:space="0" w:color="000000"/>
              <w:left w:val="single" w:sz="4" w:space="0" w:color="000000"/>
              <w:bottom w:val="single" w:sz="4" w:space="0" w:color="000000"/>
              <w:right w:val="nil"/>
            </w:tcBorders>
            <w:shd w:val="clear" w:color="auto" w:fill="B3B3B3"/>
          </w:tcPr>
          <w:p w:rsidR="0087273D" w:rsidRPr="006E2742" w:rsidRDefault="006E2742">
            <w:pPr>
              <w:ind w:left="4"/>
              <w:rPr>
                <w:rFonts w:ascii="Times New Roman" w:hAnsi="Times New Roman" w:cs="Times New Roman"/>
              </w:rPr>
            </w:pPr>
            <w:r w:rsidRPr="006E2742">
              <w:rPr>
                <w:rFonts w:ascii="Times New Roman" w:eastAsia="Times New Roman" w:hAnsi="Times New Roman" w:cs="Times New Roman"/>
                <w:b/>
                <w:sz w:val="21"/>
              </w:rPr>
              <w:t>Rhetoric of reading Serbian prose</w:t>
            </w:r>
          </w:p>
        </w:tc>
        <w:tc>
          <w:tcPr>
            <w:tcW w:w="1574" w:type="dxa"/>
            <w:tcBorders>
              <w:top w:val="single" w:sz="4" w:space="0" w:color="000000"/>
              <w:left w:val="nil"/>
              <w:bottom w:val="single" w:sz="4" w:space="0" w:color="000000"/>
              <w:right w:val="nil"/>
            </w:tcBorders>
            <w:shd w:val="clear" w:color="auto" w:fill="B3B3B3"/>
          </w:tcPr>
          <w:p w:rsidR="0087273D" w:rsidRPr="006E2742" w:rsidRDefault="0087273D">
            <w:pPr>
              <w:rPr>
                <w:rFonts w:ascii="Times New Roman" w:hAnsi="Times New Roman" w:cs="Times New Roman"/>
              </w:rPr>
            </w:pPr>
          </w:p>
        </w:tc>
        <w:tc>
          <w:tcPr>
            <w:tcW w:w="2627" w:type="dxa"/>
            <w:tcBorders>
              <w:top w:val="single" w:sz="4" w:space="0" w:color="000000"/>
              <w:left w:val="nil"/>
              <w:bottom w:val="single" w:sz="4" w:space="0" w:color="000000"/>
              <w:right w:val="single" w:sz="4" w:space="0" w:color="000000"/>
            </w:tcBorders>
            <w:shd w:val="clear" w:color="auto" w:fill="B3B3B3"/>
          </w:tcPr>
          <w:p w:rsidR="0087273D" w:rsidRPr="006E2742" w:rsidRDefault="0087273D">
            <w:pPr>
              <w:rPr>
                <w:rFonts w:ascii="Times New Roman" w:hAnsi="Times New Roman" w:cs="Times New Roman"/>
              </w:rPr>
            </w:pPr>
          </w:p>
        </w:tc>
      </w:tr>
      <w:tr w:rsidR="0087273D" w:rsidRPr="006E2742">
        <w:trPr>
          <w:trHeight w:val="500"/>
        </w:trPr>
        <w:tc>
          <w:tcPr>
            <w:tcW w:w="1796" w:type="dxa"/>
            <w:tcBorders>
              <w:top w:val="single" w:sz="4" w:space="0" w:color="000000"/>
              <w:left w:val="single" w:sz="4" w:space="0" w:color="000000"/>
              <w:bottom w:val="single" w:sz="4" w:space="0" w:color="000000"/>
              <w:right w:val="single" w:sz="4" w:space="0" w:color="000000"/>
            </w:tcBorders>
          </w:tcPr>
          <w:p w:rsidR="0087273D" w:rsidRPr="006E2742" w:rsidRDefault="006E2742">
            <w:pPr>
              <w:rPr>
                <w:rFonts w:ascii="Times New Roman" w:hAnsi="Times New Roman" w:cs="Times New Roman"/>
              </w:rPr>
            </w:pPr>
            <w:r w:rsidRPr="006E2742">
              <w:rPr>
                <w:rFonts w:ascii="Times New Roman" w:eastAsia="Times New Roman" w:hAnsi="Times New Roman" w:cs="Times New Roman"/>
                <w:b/>
                <w:sz w:val="21"/>
              </w:rPr>
              <w:t>Subject code</w:t>
            </w:r>
          </w:p>
        </w:tc>
        <w:tc>
          <w:tcPr>
            <w:tcW w:w="1800" w:type="dxa"/>
            <w:tcBorders>
              <w:top w:val="single" w:sz="4" w:space="0" w:color="000000"/>
              <w:left w:val="single" w:sz="4" w:space="0" w:color="000000"/>
              <w:bottom w:val="single" w:sz="4" w:space="0" w:color="000000"/>
              <w:right w:val="single" w:sz="4" w:space="0" w:color="000000"/>
            </w:tcBorders>
          </w:tcPr>
          <w:p w:rsidR="0087273D" w:rsidRPr="006E2742" w:rsidRDefault="006E2742">
            <w:pPr>
              <w:ind w:left="8" w:right="66"/>
              <w:jc w:val="center"/>
              <w:rPr>
                <w:rFonts w:ascii="Times New Roman" w:hAnsi="Times New Roman" w:cs="Times New Roman"/>
              </w:rPr>
            </w:pPr>
            <w:r w:rsidRPr="006E2742">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87273D" w:rsidRPr="006E2742" w:rsidRDefault="006E2742">
            <w:pPr>
              <w:ind w:right="108"/>
              <w:jc w:val="center"/>
              <w:rPr>
                <w:rFonts w:ascii="Times New Roman" w:hAnsi="Times New Roman" w:cs="Times New Roman"/>
              </w:rPr>
            </w:pPr>
            <w:r w:rsidRPr="006E2742">
              <w:rPr>
                <w:rFonts w:ascii="Times New Roman" w:eastAsia="Times New Roman" w:hAnsi="Times New Roman" w:cs="Times New Roman"/>
                <w:b/>
                <w:sz w:val="21"/>
              </w:rPr>
              <w:t>Semester</w:t>
            </w:r>
          </w:p>
        </w:tc>
        <w:tc>
          <w:tcPr>
            <w:tcW w:w="1574" w:type="dxa"/>
            <w:tcBorders>
              <w:top w:val="single" w:sz="4" w:space="0" w:color="000000"/>
              <w:left w:val="single" w:sz="4" w:space="0" w:color="000000"/>
              <w:bottom w:val="single" w:sz="4" w:space="0" w:color="000000"/>
              <w:right w:val="single" w:sz="4" w:space="0" w:color="000000"/>
            </w:tcBorders>
            <w:vAlign w:val="center"/>
          </w:tcPr>
          <w:p w:rsidR="0087273D" w:rsidRPr="006E2742" w:rsidRDefault="006E2742">
            <w:pPr>
              <w:ind w:left="66"/>
              <w:rPr>
                <w:rFonts w:ascii="Times New Roman" w:hAnsi="Times New Roman" w:cs="Times New Roman"/>
              </w:rPr>
            </w:pPr>
            <w:r w:rsidRPr="006E2742">
              <w:rPr>
                <w:rFonts w:ascii="Times New Roman" w:eastAsia="Times New Roman" w:hAnsi="Times New Roman" w:cs="Times New Roman"/>
                <w:b/>
                <w:sz w:val="21"/>
              </w:rPr>
              <w:t>Classes fund</w:t>
            </w:r>
          </w:p>
        </w:tc>
        <w:tc>
          <w:tcPr>
            <w:tcW w:w="2627" w:type="dxa"/>
            <w:tcBorders>
              <w:top w:val="single" w:sz="4" w:space="0" w:color="000000"/>
              <w:left w:val="single" w:sz="4" w:space="0" w:color="000000"/>
              <w:bottom w:val="single" w:sz="4" w:space="0" w:color="000000"/>
              <w:right w:val="single" w:sz="4" w:space="0" w:color="000000"/>
            </w:tcBorders>
            <w:vAlign w:val="center"/>
          </w:tcPr>
          <w:p w:rsidR="0087273D" w:rsidRPr="006E2742" w:rsidRDefault="006E2742">
            <w:pPr>
              <w:ind w:right="111"/>
              <w:jc w:val="center"/>
              <w:rPr>
                <w:rFonts w:ascii="Times New Roman" w:hAnsi="Times New Roman" w:cs="Times New Roman"/>
              </w:rPr>
            </w:pPr>
            <w:r w:rsidRPr="006E2742">
              <w:rPr>
                <w:rFonts w:ascii="Times New Roman" w:eastAsia="Times New Roman" w:hAnsi="Times New Roman" w:cs="Times New Roman"/>
                <w:b/>
                <w:sz w:val="21"/>
              </w:rPr>
              <w:t xml:space="preserve">Number of </w:t>
            </w:r>
            <w:proofErr w:type="spellStart"/>
            <w:r w:rsidRPr="006E2742">
              <w:rPr>
                <w:rFonts w:ascii="Times New Roman" w:eastAsia="Times New Roman" w:hAnsi="Times New Roman" w:cs="Times New Roman"/>
                <w:b/>
                <w:sz w:val="21"/>
              </w:rPr>
              <w:t>ECTS</w:t>
            </w:r>
            <w:proofErr w:type="spellEnd"/>
            <w:r w:rsidRPr="006E2742">
              <w:rPr>
                <w:rFonts w:ascii="Times New Roman" w:eastAsia="Times New Roman" w:hAnsi="Times New Roman" w:cs="Times New Roman"/>
                <w:b/>
                <w:sz w:val="21"/>
              </w:rPr>
              <w:t xml:space="preserve"> points</w:t>
            </w:r>
          </w:p>
        </w:tc>
      </w:tr>
      <w:tr w:rsidR="0087273D" w:rsidRPr="006E2742">
        <w:trPr>
          <w:trHeight w:val="260"/>
        </w:trPr>
        <w:tc>
          <w:tcPr>
            <w:tcW w:w="1796" w:type="dxa"/>
            <w:tcBorders>
              <w:top w:val="single" w:sz="4" w:space="0" w:color="000000"/>
              <w:left w:val="single" w:sz="4" w:space="0" w:color="000000"/>
              <w:bottom w:val="single" w:sz="4" w:space="0" w:color="000000"/>
              <w:right w:val="single" w:sz="4" w:space="0" w:color="000000"/>
            </w:tcBorders>
          </w:tcPr>
          <w:p w:rsidR="0087273D" w:rsidRPr="006E2742" w:rsidRDefault="006F08FE">
            <w:pPr>
              <w:rPr>
                <w:rFonts w:ascii="Times New Roman" w:hAnsi="Times New Roman" w:cs="Times New Roman"/>
              </w:rPr>
            </w:pPr>
            <w:r w:rsidRPr="006E2742">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87273D" w:rsidRPr="006E2742" w:rsidRDefault="006E2742">
            <w:pPr>
              <w:ind w:right="108"/>
              <w:jc w:val="center"/>
              <w:rPr>
                <w:rFonts w:ascii="Times New Roman" w:hAnsi="Times New Roman" w:cs="Times New Roman"/>
              </w:rPr>
            </w:pPr>
            <w:r w:rsidRPr="006E2742">
              <w:rPr>
                <w:rFonts w:ascii="Times New Roman" w:eastAsia="Times New Roman" w:hAnsi="Times New Roman" w:cs="Times New Roman"/>
                <w:sz w:val="21"/>
              </w:rPr>
              <w:t>elective</w:t>
            </w:r>
          </w:p>
        </w:tc>
        <w:tc>
          <w:tcPr>
            <w:tcW w:w="1589" w:type="dxa"/>
            <w:tcBorders>
              <w:top w:val="single" w:sz="4" w:space="0" w:color="000000"/>
              <w:left w:val="single" w:sz="4" w:space="0" w:color="000000"/>
              <w:bottom w:val="single" w:sz="4" w:space="0" w:color="000000"/>
              <w:right w:val="single" w:sz="4" w:space="0" w:color="000000"/>
            </w:tcBorders>
          </w:tcPr>
          <w:p w:rsidR="0087273D" w:rsidRPr="006E2742" w:rsidRDefault="006E2742">
            <w:pPr>
              <w:ind w:right="106"/>
              <w:jc w:val="center"/>
              <w:rPr>
                <w:rFonts w:ascii="Times New Roman" w:hAnsi="Times New Roman" w:cs="Times New Roman"/>
              </w:rPr>
            </w:pPr>
            <w:r w:rsidRPr="006E2742">
              <w:rPr>
                <w:rFonts w:ascii="Times New Roman" w:eastAsia="Times New Roman" w:hAnsi="Times New Roman" w:cs="Times New Roman"/>
                <w:sz w:val="21"/>
              </w:rPr>
              <w:t>3. or</w:t>
            </w:r>
            <w:r w:rsidR="006F08FE" w:rsidRPr="006E2742">
              <w:rPr>
                <w:rFonts w:ascii="Times New Roman" w:eastAsia="Times New Roman" w:hAnsi="Times New Roman" w:cs="Times New Roman"/>
                <w:sz w:val="21"/>
              </w:rPr>
              <w:t xml:space="preserve"> 4. </w:t>
            </w:r>
          </w:p>
        </w:tc>
        <w:tc>
          <w:tcPr>
            <w:tcW w:w="1574" w:type="dxa"/>
            <w:tcBorders>
              <w:top w:val="single" w:sz="4" w:space="0" w:color="000000"/>
              <w:left w:val="single" w:sz="4" w:space="0" w:color="000000"/>
              <w:bottom w:val="single" w:sz="4" w:space="0" w:color="000000"/>
              <w:right w:val="single" w:sz="4" w:space="0" w:color="000000"/>
            </w:tcBorders>
          </w:tcPr>
          <w:p w:rsidR="0087273D" w:rsidRPr="006E2742" w:rsidRDefault="006F08FE">
            <w:pPr>
              <w:ind w:right="105"/>
              <w:jc w:val="center"/>
              <w:rPr>
                <w:rFonts w:ascii="Times New Roman" w:hAnsi="Times New Roman" w:cs="Times New Roman"/>
              </w:rPr>
            </w:pPr>
            <w:r w:rsidRPr="006E2742">
              <w:rPr>
                <w:rFonts w:ascii="Times New Roman" w:eastAsia="Times New Roman" w:hAnsi="Times New Roman" w:cs="Times New Roman"/>
                <w:sz w:val="21"/>
              </w:rPr>
              <w:t xml:space="preserve">30 </w:t>
            </w:r>
          </w:p>
        </w:tc>
        <w:tc>
          <w:tcPr>
            <w:tcW w:w="2627" w:type="dxa"/>
            <w:tcBorders>
              <w:top w:val="single" w:sz="4" w:space="0" w:color="000000"/>
              <w:left w:val="single" w:sz="4" w:space="0" w:color="000000"/>
              <w:bottom w:val="single" w:sz="4" w:space="0" w:color="000000"/>
              <w:right w:val="single" w:sz="4" w:space="0" w:color="000000"/>
            </w:tcBorders>
          </w:tcPr>
          <w:p w:rsidR="0087273D" w:rsidRPr="006E2742" w:rsidRDefault="006F08FE">
            <w:pPr>
              <w:ind w:right="111"/>
              <w:jc w:val="center"/>
              <w:rPr>
                <w:rFonts w:ascii="Times New Roman" w:hAnsi="Times New Roman" w:cs="Times New Roman"/>
              </w:rPr>
            </w:pPr>
            <w:r w:rsidRPr="006E2742">
              <w:rPr>
                <w:rFonts w:ascii="Times New Roman" w:eastAsia="Times New Roman" w:hAnsi="Times New Roman" w:cs="Times New Roman"/>
                <w:sz w:val="21"/>
              </w:rPr>
              <w:t xml:space="preserve">10 </w:t>
            </w:r>
          </w:p>
        </w:tc>
      </w:tr>
      <w:tr w:rsidR="0087273D" w:rsidRPr="006E2742">
        <w:trPr>
          <w:trHeight w:val="252"/>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87273D" w:rsidRPr="006E2742" w:rsidRDefault="006E2742">
            <w:pPr>
              <w:rPr>
                <w:rFonts w:ascii="Times New Roman" w:hAnsi="Times New Roman" w:cs="Times New Roman"/>
              </w:rPr>
            </w:pPr>
            <w:r w:rsidRPr="006E2742">
              <w:rPr>
                <w:rFonts w:ascii="Times New Roman" w:eastAsia="Times New Roman" w:hAnsi="Times New Roman" w:cs="Times New Roman"/>
                <w:b/>
                <w:sz w:val="21"/>
              </w:rPr>
              <w:t>Professors</w:t>
            </w:r>
          </w:p>
        </w:tc>
        <w:tc>
          <w:tcPr>
            <w:tcW w:w="3389" w:type="dxa"/>
            <w:gridSpan w:val="2"/>
            <w:tcBorders>
              <w:top w:val="single" w:sz="4" w:space="0" w:color="000000"/>
              <w:left w:val="single" w:sz="4" w:space="0" w:color="000000"/>
              <w:bottom w:val="single" w:sz="4" w:space="0" w:color="000000"/>
              <w:right w:val="nil"/>
            </w:tcBorders>
          </w:tcPr>
          <w:p w:rsidR="0087273D" w:rsidRPr="006E2742" w:rsidRDefault="006E2742" w:rsidP="006E2742">
            <w:pPr>
              <w:jc w:val="both"/>
              <w:rPr>
                <w:rFonts w:ascii="Times New Roman" w:hAnsi="Times New Roman" w:cs="Times New Roman"/>
              </w:rPr>
            </w:pPr>
            <w:r w:rsidRPr="006E2742">
              <w:rPr>
                <w:rFonts w:ascii="Times New Roman" w:eastAsia="Times New Roman" w:hAnsi="Times New Roman" w:cs="Times New Roman"/>
                <w:sz w:val="21"/>
              </w:rPr>
              <w:t xml:space="preserve"> </w:t>
            </w:r>
            <w:proofErr w:type="spellStart"/>
            <w:r w:rsidRPr="006E2742">
              <w:rPr>
                <w:rFonts w:ascii="Times New Roman" w:eastAsia="Times New Roman" w:hAnsi="Times New Roman" w:cs="Times New Roman"/>
                <w:sz w:val="21"/>
              </w:rPr>
              <w:t>Snežana</w:t>
            </w:r>
            <w:proofErr w:type="spellEnd"/>
            <w:r w:rsidRPr="006E2742">
              <w:rPr>
                <w:rFonts w:ascii="Times New Roman" w:eastAsia="Times New Roman" w:hAnsi="Times New Roman" w:cs="Times New Roman"/>
                <w:sz w:val="21"/>
              </w:rPr>
              <w:t xml:space="preserve"> </w:t>
            </w:r>
            <w:proofErr w:type="spellStart"/>
            <w:r w:rsidRPr="006E2742">
              <w:rPr>
                <w:rFonts w:ascii="Times New Roman" w:eastAsia="Times New Roman" w:hAnsi="Times New Roman" w:cs="Times New Roman"/>
                <w:sz w:val="21"/>
              </w:rPr>
              <w:t>Milosavljević</w:t>
            </w:r>
            <w:proofErr w:type="spellEnd"/>
            <w:r w:rsidRPr="006E2742">
              <w:rPr>
                <w:rFonts w:ascii="Times New Roman" w:eastAsia="Times New Roman" w:hAnsi="Times New Roman" w:cs="Times New Roman"/>
                <w:sz w:val="21"/>
              </w:rPr>
              <w:t xml:space="preserve"> </w:t>
            </w:r>
            <w:proofErr w:type="spellStart"/>
            <w:r w:rsidRPr="006E2742">
              <w:rPr>
                <w:rFonts w:ascii="Times New Roman" w:eastAsia="Times New Roman" w:hAnsi="Times New Roman" w:cs="Times New Roman"/>
                <w:sz w:val="21"/>
              </w:rPr>
              <w:t>Milić</w:t>
            </w:r>
            <w:proofErr w:type="spellEnd"/>
            <w:r>
              <w:rPr>
                <w:rFonts w:ascii="Times New Roman" w:eastAsia="Times New Roman" w:hAnsi="Times New Roman" w:cs="Times New Roman"/>
                <w:sz w:val="21"/>
              </w:rPr>
              <w:t>, PhD</w:t>
            </w:r>
          </w:p>
        </w:tc>
        <w:tc>
          <w:tcPr>
            <w:tcW w:w="1574" w:type="dxa"/>
            <w:tcBorders>
              <w:top w:val="single" w:sz="4" w:space="0" w:color="000000"/>
              <w:left w:val="nil"/>
              <w:bottom w:val="single" w:sz="4" w:space="0" w:color="000000"/>
              <w:right w:val="nil"/>
            </w:tcBorders>
          </w:tcPr>
          <w:p w:rsidR="0087273D" w:rsidRPr="006E2742" w:rsidRDefault="0087273D">
            <w:pPr>
              <w:rPr>
                <w:rFonts w:ascii="Times New Roman" w:hAnsi="Times New Roman" w:cs="Times New Roman"/>
              </w:rPr>
            </w:pPr>
          </w:p>
        </w:tc>
        <w:tc>
          <w:tcPr>
            <w:tcW w:w="2627" w:type="dxa"/>
            <w:tcBorders>
              <w:top w:val="single" w:sz="4" w:space="0" w:color="000000"/>
              <w:left w:val="nil"/>
              <w:bottom w:val="single" w:sz="4" w:space="0" w:color="000000"/>
              <w:right w:val="single" w:sz="4" w:space="0" w:color="000000"/>
            </w:tcBorders>
          </w:tcPr>
          <w:p w:rsidR="0087273D" w:rsidRPr="006E2742" w:rsidRDefault="0087273D">
            <w:pPr>
              <w:rPr>
                <w:rFonts w:ascii="Times New Roman" w:hAnsi="Times New Roman" w:cs="Times New Roman"/>
              </w:rPr>
            </w:pPr>
          </w:p>
        </w:tc>
      </w:tr>
    </w:tbl>
    <w:p w:rsidR="0087273D" w:rsidRPr="006E2742" w:rsidRDefault="006F08FE">
      <w:pPr>
        <w:spacing w:after="0"/>
        <w:ind w:left="-38"/>
        <w:jc w:val="both"/>
        <w:rPr>
          <w:rFonts w:ascii="Times New Roman" w:hAnsi="Times New Roman" w:cs="Times New Roman"/>
        </w:rPr>
      </w:pPr>
      <w:r w:rsidRPr="006E2742">
        <w:rPr>
          <w:rFonts w:ascii="Times New Roman" w:eastAsia="Times New Roman" w:hAnsi="Times New Roman" w:cs="Times New Roman"/>
          <w:sz w:val="21"/>
        </w:rPr>
        <w:t xml:space="preserve"> </w:t>
      </w:r>
    </w:p>
    <w:tbl>
      <w:tblPr>
        <w:tblStyle w:val="TableGrid"/>
        <w:tblW w:w="9386" w:type="dxa"/>
        <w:tblInd w:w="-140" w:type="dxa"/>
        <w:tblCellMar>
          <w:top w:w="42" w:type="dxa"/>
          <w:left w:w="101" w:type="dxa"/>
          <w:right w:w="46" w:type="dxa"/>
        </w:tblCellMar>
        <w:tblLook w:val="04A0" w:firstRow="1" w:lastRow="0" w:firstColumn="1" w:lastColumn="0" w:noHBand="0" w:noVBand="1"/>
      </w:tblPr>
      <w:tblGrid>
        <w:gridCol w:w="2511"/>
        <w:gridCol w:w="1094"/>
        <w:gridCol w:w="1930"/>
        <w:gridCol w:w="1051"/>
        <w:gridCol w:w="1925"/>
        <w:gridCol w:w="875"/>
      </w:tblGrid>
      <w:tr w:rsidR="0087273D" w:rsidRPr="006E2742">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87273D" w:rsidRPr="006E2742" w:rsidRDefault="006E2742">
            <w:pPr>
              <w:rPr>
                <w:rFonts w:ascii="Times New Roman" w:hAnsi="Times New Roman" w:cs="Times New Roman"/>
              </w:rPr>
            </w:pPr>
            <w:r w:rsidRPr="006E2742">
              <w:rPr>
                <w:rFonts w:ascii="Times New Roman" w:eastAsia="Times New Roman" w:hAnsi="Times New Roman" w:cs="Times New Roman"/>
                <w:b/>
                <w:sz w:val="21"/>
              </w:rPr>
              <w:t>Conditioned by other subjects</w:t>
            </w:r>
          </w:p>
        </w:tc>
      </w:tr>
      <w:tr w:rsidR="0087273D" w:rsidRPr="006E2742">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87273D" w:rsidRPr="006E2742" w:rsidRDefault="006F08FE">
            <w:pPr>
              <w:rPr>
                <w:rFonts w:ascii="Times New Roman" w:hAnsi="Times New Roman" w:cs="Times New Roman"/>
              </w:rPr>
            </w:pPr>
            <w:r w:rsidRPr="006E2742">
              <w:rPr>
                <w:rFonts w:ascii="Times New Roman" w:eastAsia="Times New Roman" w:hAnsi="Times New Roman" w:cs="Times New Roman"/>
                <w:sz w:val="21"/>
              </w:rPr>
              <w:t xml:space="preserve"> </w:t>
            </w:r>
          </w:p>
        </w:tc>
      </w:tr>
      <w:tr w:rsidR="006E2742" w:rsidRPr="006E274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6E2742" w:rsidRPr="006E2742" w:rsidRDefault="006E2742" w:rsidP="006E2742">
            <w:pPr>
              <w:rPr>
                <w:rFonts w:ascii="Times New Roman" w:hAnsi="Times New Roman" w:cs="Times New Roman"/>
                <w:b/>
              </w:rPr>
            </w:pPr>
            <w:r w:rsidRPr="006E2742">
              <w:rPr>
                <w:rFonts w:ascii="Times New Roman" w:hAnsi="Times New Roman" w:cs="Times New Roman"/>
                <w:b/>
              </w:rPr>
              <w:t>Objectives of studying the subject:</w:t>
            </w:r>
          </w:p>
        </w:tc>
      </w:tr>
      <w:tr w:rsidR="006E2742" w:rsidRPr="006E2742">
        <w:trPr>
          <w:trHeight w:val="886"/>
        </w:trPr>
        <w:tc>
          <w:tcPr>
            <w:tcW w:w="9386" w:type="dxa"/>
            <w:gridSpan w:val="6"/>
            <w:tcBorders>
              <w:top w:val="single" w:sz="4" w:space="0" w:color="000000"/>
              <w:left w:val="single" w:sz="4" w:space="0" w:color="000000"/>
              <w:bottom w:val="single" w:sz="4" w:space="0" w:color="000000"/>
              <w:right w:val="single" w:sz="4" w:space="0" w:color="000000"/>
            </w:tcBorders>
          </w:tcPr>
          <w:p w:rsidR="006E2742" w:rsidRPr="006E2742" w:rsidRDefault="006E2742" w:rsidP="006E2742">
            <w:pPr>
              <w:jc w:val="both"/>
              <w:rPr>
                <w:rFonts w:ascii="Times New Roman" w:hAnsi="Times New Roman" w:cs="Times New Roman"/>
              </w:rPr>
            </w:pPr>
            <w:r w:rsidRPr="006E2742">
              <w:rPr>
                <w:rFonts w:ascii="Times New Roman" w:hAnsi="Times New Roman" w:cs="Times New Roman"/>
              </w:rPr>
              <w:t>Acquiring knowledge about the rhetorical aspects of reading and about contemporary forms of rhetorical criticism. Getting to know the scope of the rhetorical approach in the context of contemporary narratological theories.</w:t>
            </w:r>
          </w:p>
        </w:tc>
      </w:tr>
      <w:tr w:rsidR="006E2742" w:rsidRPr="006E2742">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6E2742" w:rsidRPr="006E2742" w:rsidRDefault="006E2742" w:rsidP="006E2742">
            <w:pPr>
              <w:rPr>
                <w:rFonts w:ascii="Times New Roman" w:hAnsi="Times New Roman" w:cs="Times New Roman"/>
                <w:b/>
              </w:rPr>
            </w:pPr>
            <w:r w:rsidRPr="006E2742">
              <w:rPr>
                <w:rFonts w:ascii="Times New Roman" w:hAnsi="Times New Roman" w:cs="Times New Roman"/>
                <w:b/>
              </w:rPr>
              <w:t>Learning outcomes (acquired knowledge):</w:t>
            </w:r>
          </w:p>
        </w:tc>
      </w:tr>
      <w:tr w:rsidR="0087273D" w:rsidRPr="006E2742">
        <w:trPr>
          <w:trHeight w:val="751"/>
        </w:trPr>
        <w:tc>
          <w:tcPr>
            <w:tcW w:w="9386" w:type="dxa"/>
            <w:gridSpan w:val="6"/>
            <w:tcBorders>
              <w:top w:val="single" w:sz="4" w:space="0" w:color="000000"/>
              <w:left w:val="single" w:sz="4" w:space="0" w:color="000000"/>
              <w:bottom w:val="single" w:sz="4" w:space="0" w:color="000000"/>
              <w:right w:val="single" w:sz="4" w:space="0" w:color="000000"/>
            </w:tcBorders>
          </w:tcPr>
          <w:p w:rsidR="0087273D" w:rsidRPr="006E2742" w:rsidRDefault="006F08FE">
            <w:pPr>
              <w:rPr>
                <w:rFonts w:ascii="Times New Roman" w:hAnsi="Times New Roman" w:cs="Times New Roman"/>
              </w:rPr>
            </w:pPr>
            <w:r w:rsidRPr="006E2742">
              <w:rPr>
                <w:rFonts w:ascii="Times New Roman" w:eastAsia="Times New Roman" w:hAnsi="Times New Roman" w:cs="Times New Roman"/>
                <w:sz w:val="21"/>
              </w:rPr>
              <w:t xml:space="preserve"> </w:t>
            </w:r>
          </w:p>
          <w:p w:rsidR="0087273D" w:rsidRPr="006E2742" w:rsidRDefault="006F08FE">
            <w:pPr>
              <w:rPr>
                <w:rFonts w:ascii="Times New Roman" w:hAnsi="Times New Roman" w:cs="Times New Roman"/>
              </w:rPr>
            </w:pPr>
            <w:r w:rsidRPr="006E2742">
              <w:rPr>
                <w:rFonts w:ascii="Times New Roman" w:eastAsia="Times New Roman" w:hAnsi="Times New Roman" w:cs="Times New Roman"/>
                <w:sz w:val="21"/>
              </w:rPr>
              <w:t xml:space="preserve"> </w:t>
            </w:r>
          </w:p>
          <w:p w:rsidR="0087273D" w:rsidRPr="006E2742" w:rsidRDefault="006F08FE">
            <w:pPr>
              <w:rPr>
                <w:rFonts w:ascii="Times New Roman" w:hAnsi="Times New Roman" w:cs="Times New Roman"/>
              </w:rPr>
            </w:pPr>
            <w:r w:rsidRPr="006E2742">
              <w:rPr>
                <w:rFonts w:ascii="Times New Roman" w:eastAsia="Times New Roman" w:hAnsi="Times New Roman" w:cs="Times New Roman"/>
                <w:sz w:val="21"/>
              </w:rPr>
              <w:t xml:space="preserve"> </w:t>
            </w:r>
          </w:p>
        </w:tc>
      </w:tr>
      <w:tr w:rsidR="0087273D" w:rsidRPr="006E2742">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87273D" w:rsidRPr="006E2742" w:rsidRDefault="006E2742">
            <w:pPr>
              <w:rPr>
                <w:rFonts w:ascii="Times New Roman" w:hAnsi="Times New Roman" w:cs="Times New Roman"/>
              </w:rPr>
            </w:pPr>
            <w:r w:rsidRPr="006E2742">
              <w:rPr>
                <w:rFonts w:ascii="Times New Roman" w:eastAsia="Times New Roman" w:hAnsi="Times New Roman" w:cs="Times New Roman"/>
                <w:b/>
                <w:sz w:val="21"/>
              </w:rPr>
              <w:t>Subject content:</w:t>
            </w:r>
          </w:p>
        </w:tc>
      </w:tr>
      <w:tr w:rsidR="0087273D" w:rsidRPr="006E2742" w:rsidTr="006E2742">
        <w:trPr>
          <w:trHeight w:val="4475"/>
        </w:trPr>
        <w:tc>
          <w:tcPr>
            <w:tcW w:w="9386" w:type="dxa"/>
            <w:gridSpan w:val="6"/>
            <w:tcBorders>
              <w:top w:val="single" w:sz="4" w:space="0" w:color="000000"/>
              <w:left w:val="single" w:sz="4" w:space="0" w:color="000000"/>
              <w:bottom w:val="single" w:sz="4" w:space="0" w:color="000000"/>
              <w:right w:val="single" w:sz="4" w:space="0" w:color="000000"/>
            </w:tcBorders>
          </w:tcPr>
          <w:p w:rsidR="006E2742" w:rsidRPr="006E2742" w:rsidRDefault="006E2742" w:rsidP="006E2742">
            <w:pPr>
              <w:spacing w:line="239" w:lineRule="auto"/>
              <w:jc w:val="both"/>
              <w:rPr>
                <w:rFonts w:ascii="Times New Roman" w:eastAsia="Times New Roman" w:hAnsi="Times New Roman" w:cs="Times New Roman"/>
                <w:sz w:val="21"/>
              </w:rPr>
            </w:pPr>
            <w:r w:rsidRPr="006E2742">
              <w:rPr>
                <w:rFonts w:ascii="Times New Roman" w:eastAsia="Times New Roman" w:hAnsi="Times New Roman" w:cs="Times New Roman"/>
                <w:i/>
                <w:sz w:val="21"/>
              </w:rPr>
              <w:t xml:space="preserve">Theoretical teaching: </w:t>
            </w:r>
            <w:r w:rsidRPr="006E2742">
              <w:rPr>
                <w:rFonts w:ascii="Times New Roman" w:eastAsia="Times New Roman" w:hAnsi="Times New Roman" w:cs="Times New Roman"/>
                <w:sz w:val="21"/>
              </w:rPr>
              <w:t xml:space="preserve">A brief overview of the history and practice of reading from antiquity to modern times. The role of the reader in Roman </w:t>
            </w:r>
            <w:proofErr w:type="spellStart"/>
            <w:r w:rsidRPr="006E2742">
              <w:rPr>
                <w:rFonts w:ascii="Times New Roman" w:eastAsia="Times New Roman" w:hAnsi="Times New Roman" w:cs="Times New Roman"/>
                <w:sz w:val="21"/>
              </w:rPr>
              <w:t>Ingarden's</w:t>
            </w:r>
            <w:proofErr w:type="spellEnd"/>
            <w:r w:rsidRPr="006E2742">
              <w:rPr>
                <w:rFonts w:ascii="Times New Roman" w:eastAsia="Times New Roman" w:hAnsi="Times New Roman" w:cs="Times New Roman"/>
                <w:sz w:val="21"/>
              </w:rPr>
              <w:t xml:space="preserve"> phenomenological theory. Beginnings of interest for the reader in the early structuralism of Roland Barthes. Prince's notion of a narrator. </w:t>
            </w:r>
            <w:proofErr w:type="spellStart"/>
            <w:r w:rsidRPr="006E2742">
              <w:rPr>
                <w:rFonts w:ascii="Times New Roman" w:eastAsia="Times New Roman" w:hAnsi="Times New Roman" w:cs="Times New Roman"/>
                <w:sz w:val="21"/>
              </w:rPr>
              <w:t>Iser's</w:t>
            </w:r>
            <w:proofErr w:type="spellEnd"/>
            <w:r w:rsidRPr="006E2742">
              <w:rPr>
                <w:rFonts w:ascii="Times New Roman" w:eastAsia="Times New Roman" w:hAnsi="Times New Roman" w:cs="Times New Roman"/>
                <w:sz w:val="21"/>
              </w:rPr>
              <w:t xml:space="preserve"> concept of the implicit reader. James Phelan's Rhetorical Theory of Reading. "Misreading" in the theory of Paul de Man. Umberto Eco's Theory of Intentional Interpretation. Reading narrative gaps and big stories.</w:t>
            </w:r>
          </w:p>
          <w:p w:rsidR="006E2742" w:rsidRPr="006E2742" w:rsidRDefault="006E2742" w:rsidP="006E2742">
            <w:pPr>
              <w:spacing w:line="239" w:lineRule="auto"/>
              <w:jc w:val="both"/>
              <w:rPr>
                <w:rFonts w:ascii="Times New Roman" w:eastAsia="Times New Roman" w:hAnsi="Times New Roman" w:cs="Times New Roman"/>
                <w:sz w:val="21"/>
              </w:rPr>
            </w:pPr>
            <w:r w:rsidRPr="006E2742">
              <w:rPr>
                <w:rFonts w:ascii="Times New Roman" w:eastAsia="Times New Roman" w:hAnsi="Times New Roman" w:cs="Times New Roman"/>
                <w:sz w:val="21"/>
              </w:rPr>
              <w:t xml:space="preserve"> RHETORICAL ASPECTS OF READING - Reading as a rhetorical act; Rhetorical criticism (Phelan, de Man, </w:t>
            </w:r>
            <w:proofErr w:type="spellStart"/>
            <w:r w:rsidRPr="006E2742">
              <w:rPr>
                <w:rFonts w:ascii="Times New Roman" w:eastAsia="Times New Roman" w:hAnsi="Times New Roman" w:cs="Times New Roman"/>
                <w:sz w:val="21"/>
              </w:rPr>
              <w:t>Rabinovitch</w:t>
            </w:r>
            <w:proofErr w:type="spellEnd"/>
            <w:r w:rsidRPr="006E2742">
              <w:rPr>
                <w:rFonts w:ascii="Times New Roman" w:eastAsia="Times New Roman" w:hAnsi="Times New Roman" w:cs="Times New Roman"/>
                <w:sz w:val="21"/>
              </w:rPr>
              <w:t xml:space="preserve">); Wayne Booth's Prose Rhetoric; Genre rhetoric: TI-narrator, commentary, narrator, epistolary form (B. </w:t>
            </w:r>
            <w:proofErr w:type="spellStart"/>
            <w:r w:rsidRPr="006E2742">
              <w:rPr>
                <w:rFonts w:ascii="Times New Roman" w:eastAsia="Times New Roman" w:hAnsi="Times New Roman" w:cs="Times New Roman"/>
                <w:sz w:val="21"/>
              </w:rPr>
              <w:t>Stanković</w:t>
            </w:r>
            <w:proofErr w:type="spellEnd"/>
            <w:r w:rsidRPr="006E2742">
              <w:rPr>
                <w:rFonts w:ascii="Times New Roman" w:eastAsia="Times New Roman" w:hAnsi="Times New Roman" w:cs="Times New Roman"/>
                <w:sz w:val="21"/>
              </w:rPr>
              <w:t xml:space="preserve">, S. </w:t>
            </w:r>
            <w:proofErr w:type="spellStart"/>
            <w:r w:rsidRPr="006E2742">
              <w:rPr>
                <w:rFonts w:ascii="Times New Roman" w:eastAsia="Times New Roman" w:hAnsi="Times New Roman" w:cs="Times New Roman"/>
                <w:sz w:val="21"/>
              </w:rPr>
              <w:t>Matavulj</w:t>
            </w:r>
            <w:proofErr w:type="spellEnd"/>
            <w:r w:rsidRPr="006E2742">
              <w:rPr>
                <w:rFonts w:ascii="Times New Roman" w:eastAsia="Times New Roman" w:hAnsi="Times New Roman" w:cs="Times New Roman"/>
                <w:sz w:val="21"/>
              </w:rPr>
              <w:t xml:space="preserve">, S. </w:t>
            </w:r>
            <w:proofErr w:type="spellStart"/>
            <w:r w:rsidRPr="006E2742">
              <w:rPr>
                <w:rFonts w:ascii="Times New Roman" w:eastAsia="Times New Roman" w:hAnsi="Times New Roman" w:cs="Times New Roman"/>
                <w:sz w:val="21"/>
              </w:rPr>
              <w:t>Sremac</w:t>
            </w:r>
            <w:proofErr w:type="spellEnd"/>
            <w:r w:rsidRPr="006E2742">
              <w:rPr>
                <w:rFonts w:ascii="Times New Roman" w:eastAsia="Times New Roman" w:hAnsi="Times New Roman" w:cs="Times New Roman"/>
                <w:sz w:val="21"/>
              </w:rPr>
              <w:t xml:space="preserve">, R. </w:t>
            </w:r>
            <w:proofErr w:type="spellStart"/>
            <w:r w:rsidRPr="006E2742">
              <w:rPr>
                <w:rFonts w:ascii="Times New Roman" w:eastAsia="Times New Roman" w:hAnsi="Times New Roman" w:cs="Times New Roman"/>
                <w:sz w:val="21"/>
              </w:rPr>
              <w:t>Domanović</w:t>
            </w:r>
            <w:proofErr w:type="spellEnd"/>
            <w:r w:rsidRPr="006E2742">
              <w:rPr>
                <w:rFonts w:ascii="Times New Roman" w:eastAsia="Times New Roman" w:hAnsi="Times New Roman" w:cs="Times New Roman"/>
                <w:sz w:val="21"/>
              </w:rPr>
              <w:t xml:space="preserve">, L. Lazarevic); Appellate structure of the text, relationship between the text and the reader; Implicit reader and narrator (B. </w:t>
            </w:r>
            <w:proofErr w:type="spellStart"/>
            <w:r w:rsidRPr="006E2742">
              <w:rPr>
                <w:rFonts w:ascii="Times New Roman" w:eastAsia="Times New Roman" w:hAnsi="Times New Roman" w:cs="Times New Roman"/>
                <w:sz w:val="21"/>
              </w:rPr>
              <w:t>Stanković</w:t>
            </w:r>
            <w:proofErr w:type="spellEnd"/>
            <w:r w:rsidRPr="006E2742">
              <w:rPr>
                <w:rFonts w:ascii="Times New Roman" w:eastAsia="Times New Roman" w:hAnsi="Times New Roman" w:cs="Times New Roman"/>
                <w:sz w:val="21"/>
              </w:rPr>
              <w:t xml:space="preserve">); FIGURES OF READING: Metaphor, antithesis, synecdoche, reticence; Interpretive models: sociological codes (the image of a woman in Serbian realism novels, the status of the body in contemporary feminist criticism); philosophical discourse and reading (B. </w:t>
            </w:r>
            <w:proofErr w:type="spellStart"/>
            <w:r w:rsidRPr="006E2742">
              <w:rPr>
                <w:rFonts w:ascii="Times New Roman" w:eastAsia="Times New Roman" w:hAnsi="Times New Roman" w:cs="Times New Roman"/>
                <w:sz w:val="21"/>
              </w:rPr>
              <w:t>Lazarević</w:t>
            </w:r>
            <w:proofErr w:type="spellEnd"/>
            <w:r w:rsidRPr="006E2742">
              <w:rPr>
                <w:rFonts w:ascii="Times New Roman" w:eastAsia="Times New Roman" w:hAnsi="Times New Roman" w:cs="Times New Roman"/>
                <w:sz w:val="21"/>
              </w:rPr>
              <w:t xml:space="preserve">); psychological method (M. </w:t>
            </w:r>
            <w:proofErr w:type="spellStart"/>
            <w:r w:rsidRPr="006E2742">
              <w:rPr>
                <w:rFonts w:ascii="Times New Roman" w:eastAsia="Times New Roman" w:hAnsi="Times New Roman" w:cs="Times New Roman"/>
                <w:sz w:val="21"/>
              </w:rPr>
              <w:t>Đorić</w:t>
            </w:r>
            <w:proofErr w:type="spellEnd"/>
            <w:r w:rsidRPr="006E2742">
              <w:rPr>
                <w:rFonts w:ascii="Times New Roman" w:eastAsia="Times New Roman" w:hAnsi="Times New Roman" w:cs="Times New Roman"/>
                <w:sz w:val="21"/>
              </w:rPr>
              <w:t xml:space="preserve">); ethics and rhetoric of reading (motif of sin - </w:t>
            </w:r>
            <w:proofErr w:type="spellStart"/>
            <w:r w:rsidRPr="006E2742">
              <w:rPr>
                <w:rFonts w:ascii="Times New Roman" w:eastAsia="Times New Roman" w:hAnsi="Times New Roman" w:cs="Times New Roman"/>
                <w:sz w:val="21"/>
              </w:rPr>
              <w:t>Matavulj</w:t>
            </w:r>
            <w:proofErr w:type="spellEnd"/>
            <w:r w:rsidRPr="006E2742">
              <w:rPr>
                <w:rFonts w:ascii="Times New Roman" w:eastAsia="Times New Roman" w:hAnsi="Times New Roman" w:cs="Times New Roman"/>
                <w:sz w:val="21"/>
              </w:rPr>
              <w:t xml:space="preserve">, national ideologues in the contemporary Serbian novel); archetypal and religious model (V. </w:t>
            </w:r>
            <w:proofErr w:type="spellStart"/>
            <w:r w:rsidRPr="006E2742">
              <w:rPr>
                <w:rFonts w:ascii="Times New Roman" w:eastAsia="Times New Roman" w:hAnsi="Times New Roman" w:cs="Times New Roman"/>
                <w:sz w:val="21"/>
              </w:rPr>
              <w:t>Jerotić</w:t>
            </w:r>
            <w:proofErr w:type="spellEnd"/>
            <w:r w:rsidRPr="006E2742">
              <w:rPr>
                <w:rFonts w:ascii="Times New Roman" w:eastAsia="Times New Roman" w:hAnsi="Times New Roman" w:cs="Times New Roman"/>
                <w:sz w:val="21"/>
              </w:rPr>
              <w:t xml:space="preserve">) cognitive models (empathy and immersion, L. </w:t>
            </w:r>
            <w:proofErr w:type="spellStart"/>
            <w:r w:rsidRPr="006E2742">
              <w:rPr>
                <w:rFonts w:ascii="Times New Roman" w:eastAsia="Times New Roman" w:hAnsi="Times New Roman" w:cs="Times New Roman"/>
                <w:sz w:val="21"/>
              </w:rPr>
              <w:t>Lazarević</w:t>
            </w:r>
            <w:proofErr w:type="spellEnd"/>
            <w:r w:rsidRPr="006E2742">
              <w:rPr>
                <w:rFonts w:ascii="Times New Roman" w:eastAsia="Times New Roman" w:hAnsi="Times New Roman" w:cs="Times New Roman"/>
                <w:sz w:val="21"/>
              </w:rPr>
              <w:t xml:space="preserve">, pre-narrative); </w:t>
            </w:r>
          </w:p>
          <w:p w:rsidR="006E2742" w:rsidRPr="006E2742" w:rsidRDefault="006E2742" w:rsidP="006E2742">
            <w:pPr>
              <w:spacing w:line="239" w:lineRule="auto"/>
              <w:jc w:val="both"/>
              <w:rPr>
                <w:rFonts w:ascii="Times New Roman" w:eastAsia="Times New Roman" w:hAnsi="Times New Roman" w:cs="Times New Roman"/>
                <w:sz w:val="21"/>
              </w:rPr>
            </w:pPr>
            <w:r w:rsidRPr="006E2742">
              <w:rPr>
                <w:rFonts w:ascii="Times New Roman" w:eastAsia="Times New Roman" w:hAnsi="Times New Roman" w:cs="Times New Roman"/>
                <w:sz w:val="21"/>
              </w:rPr>
              <w:t>TEXT BOUNDARIES; LIMITS OF READING:- semiotic and cognitive approach to the limits of the text</w:t>
            </w:r>
          </w:p>
          <w:p w:rsidR="0087273D" w:rsidRPr="006E2742" w:rsidRDefault="006E2742" w:rsidP="006E2742">
            <w:pPr>
              <w:ind w:right="174"/>
              <w:jc w:val="both"/>
              <w:rPr>
                <w:rFonts w:ascii="Times New Roman" w:hAnsi="Times New Roman" w:cs="Times New Roman"/>
              </w:rPr>
            </w:pPr>
            <w:proofErr w:type="gramStart"/>
            <w:r w:rsidRPr="006E2742">
              <w:rPr>
                <w:rFonts w:ascii="Times New Roman" w:eastAsia="Times New Roman" w:hAnsi="Times New Roman" w:cs="Times New Roman"/>
                <w:sz w:val="21"/>
              </w:rPr>
              <w:t>for</w:t>
            </w:r>
            <w:proofErr w:type="gramEnd"/>
            <w:r w:rsidRPr="006E2742">
              <w:rPr>
                <w:rFonts w:ascii="Times New Roman" w:eastAsia="Times New Roman" w:hAnsi="Times New Roman" w:cs="Times New Roman"/>
                <w:sz w:val="21"/>
              </w:rPr>
              <w:t xml:space="preserve"> a new history of literature or a history of reading (P. Bayar, theory of non-reading and anticipated plagiarism).</w:t>
            </w:r>
          </w:p>
        </w:tc>
      </w:tr>
      <w:tr w:rsidR="0087273D" w:rsidRPr="006E274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87273D" w:rsidRPr="006E2742" w:rsidRDefault="006E2742">
            <w:pPr>
              <w:ind w:left="1"/>
              <w:rPr>
                <w:rFonts w:ascii="Times New Roman" w:hAnsi="Times New Roman" w:cs="Times New Roman"/>
              </w:rPr>
            </w:pPr>
            <w:r w:rsidRPr="006E2742">
              <w:rPr>
                <w:rFonts w:ascii="Times New Roman" w:eastAsia="Times New Roman" w:hAnsi="Times New Roman" w:cs="Times New Roman"/>
                <w:b/>
                <w:sz w:val="21"/>
              </w:rPr>
              <w:t>Methods of teaching and mastering the material:</w:t>
            </w:r>
          </w:p>
        </w:tc>
      </w:tr>
      <w:tr w:rsidR="0087273D" w:rsidRPr="006E2742">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87273D" w:rsidRPr="006E2742" w:rsidRDefault="006F08FE">
            <w:pPr>
              <w:ind w:left="1"/>
              <w:rPr>
                <w:rFonts w:ascii="Times New Roman" w:hAnsi="Times New Roman" w:cs="Times New Roman"/>
              </w:rPr>
            </w:pPr>
            <w:r w:rsidRPr="006E2742">
              <w:rPr>
                <w:rFonts w:ascii="Times New Roman" w:eastAsia="Times New Roman" w:hAnsi="Times New Roman" w:cs="Times New Roman"/>
                <w:sz w:val="21"/>
              </w:rPr>
              <w:t xml:space="preserve"> </w:t>
            </w:r>
          </w:p>
        </w:tc>
      </w:tr>
      <w:tr w:rsidR="0087273D" w:rsidRPr="006E2742">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87273D" w:rsidRPr="006E2742" w:rsidRDefault="006E2742">
            <w:pPr>
              <w:ind w:left="1"/>
              <w:rPr>
                <w:rFonts w:ascii="Times New Roman" w:hAnsi="Times New Roman" w:cs="Times New Roman"/>
              </w:rPr>
            </w:pPr>
            <w:r w:rsidRPr="006E2742">
              <w:rPr>
                <w:rFonts w:ascii="Times New Roman" w:eastAsia="Times New Roman" w:hAnsi="Times New Roman" w:cs="Times New Roman"/>
                <w:b/>
                <w:sz w:val="21"/>
              </w:rPr>
              <w:t>Literature:</w:t>
            </w:r>
          </w:p>
        </w:tc>
      </w:tr>
      <w:tr w:rsidR="0087273D" w:rsidRPr="006E2742">
        <w:trPr>
          <w:trHeight w:val="5878"/>
        </w:trPr>
        <w:tc>
          <w:tcPr>
            <w:tcW w:w="9386" w:type="dxa"/>
            <w:gridSpan w:val="6"/>
            <w:tcBorders>
              <w:top w:val="single" w:sz="4" w:space="0" w:color="000000"/>
              <w:left w:val="single" w:sz="4" w:space="0" w:color="000000"/>
              <w:bottom w:val="single" w:sz="4" w:space="0" w:color="000000"/>
              <w:right w:val="single" w:sz="4" w:space="0" w:color="000000"/>
            </w:tcBorders>
          </w:tcPr>
          <w:p w:rsidR="0087273D" w:rsidRPr="006E2742" w:rsidRDefault="006F08FE">
            <w:pPr>
              <w:spacing w:after="10"/>
              <w:ind w:left="1"/>
              <w:rPr>
                <w:rFonts w:ascii="Times New Roman" w:hAnsi="Times New Roman" w:cs="Times New Roman"/>
              </w:rPr>
            </w:pPr>
            <w:r w:rsidRPr="006E2742">
              <w:rPr>
                <w:rFonts w:ascii="Times New Roman" w:eastAsia="Times New Roman" w:hAnsi="Times New Roman" w:cs="Times New Roman"/>
                <w:sz w:val="21"/>
              </w:rPr>
              <w:lastRenderedPageBreak/>
              <w:t xml:space="preserve"> </w:t>
            </w:r>
          </w:p>
          <w:p w:rsidR="0087273D" w:rsidRPr="006E2742" w:rsidRDefault="006F08FE">
            <w:pPr>
              <w:spacing w:after="20"/>
              <w:ind w:left="1"/>
              <w:rPr>
                <w:rFonts w:ascii="Times New Roman" w:hAnsi="Times New Roman" w:cs="Times New Roman"/>
              </w:rPr>
            </w:pPr>
            <w:proofErr w:type="spellStart"/>
            <w:r w:rsidRPr="006E2742">
              <w:rPr>
                <w:rFonts w:ascii="Times New Roman" w:eastAsia="Times New Roman" w:hAnsi="Times New Roman" w:cs="Times New Roman"/>
                <w:sz w:val="25"/>
              </w:rPr>
              <w:t>Алберто</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Мангел</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i/>
                <w:sz w:val="25"/>
              </w:rPr>
              <w:t>Историја</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читања</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sz w:val="25"/>
              </w:rPr>
              <w:t>Нови</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Сад</w:t>
            </w:r>
            <w:proofErr w:type="spellEnd"/>
            <w:r w:rsidRPr="006E2742">
              <w:rPr>
                <w:rFonts w:ascii="Times New Roman" w:eastAsia="Times New Roman" w:hAnsi="Times New Roman" w:cs="Times New Roman"/>
                <w:sz w:val="25"/>
              </w:rPr>
              <w:t>, 2005, (</w:t>
            </w:r>
            <w:proofErr w:type="spellStart"/>
            <w:r w:rsidRPr="006E2742">
              <w:rPr>
                <w:rFonts w:ascii="Times New Roman" w:eastAsia="Times New Roman" w:hAnsi="Times New Roman" w:cs="Times New Roman"/>
                <w:sz w:val="25"/>
              </w:rPr>
              <w:t>одломци</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Роман</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Ингарден</w:t>
            </w:r>
            <w:proofErr w:type="spellEnd"/>
            <w:r w:rsidRPr="006E2742">
              <w:rPr>
                <w:rFonts w:ascii="Times New Roman" w:eastAsia="Times New Roman" w:hAnsi="Times New Roman" w:cs="Times New Roman"/>
                <w:sz w:val="25"/>
              </w:rPr>
              <w:t xml:space="preserve">, </w:t>
            </w:r>
          </w:p>
          <w:p w:rsidR="0087273D" w:rsidRPr="006E2742" w:rsidRDefault="006F08FE">
            <w:pPr>
              <w:spacing w:after="16"/>
              <w:ind w:left="1"/>
              <w:rPr>
                <w:rFonts w:ascii="Times New Roman" w:hAnsi="Times New Roman" w:cs="Times New Roman"/>
              </w:rPr>
            </w:pPr>
            <w:proofErr w:type="spellStart"/>
            <w:r w:rsidRPr="006E2742">
              <w:rPr>
                <w:rFonts w:ascii="Times New Roman" w:eastAsia="Times New Roman" w:hAnsi="Times New Roman" w:cs="Times New Roman"/>
                <w:i/>
                <w:sz w:val="25"/>
              </w:rPr>
              <w:t>Доживљај</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уметничко</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дело</w:t>
            </w:r>
            <w:proofErr w:type="spellEnd"/>
            <w:r w:rsidRPr="006E2742">
              <w:rPr>
                <w:rFonts w:ascii="Times New Roman" w:eastAsia="Times New Roman" w:hAnsi="Times New Roman" w:cs="Times New Roman"/>
                <w:i/>
                <w:sz w:val="25"/>
              </w:rPr>
              <w:t xml:space="preserve"> и </w:t>
            </w:r>
            <w:proofErr w:type="spellStart"/>
            <w:r w:rsidRPr="006E2742">
              <w:rPr>
                <w:rFonts w:ascii="Times New Roman" w:eastAsia="Times New Roman" w:hAnsi="Times New Roman" w:cs="Times New Roman"/>
                <w:i/>
                <w:sz w:val="25"/>
              </w:rPr>
              <w:t>вредност</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Београд</w:t>
            </w:r>
            <w:proofErr w:type="spellEnd"/>
            <w:r w:rsidRPr="006E2742">
              <w:rPr>
                <w:rFonts w:ascii="Times New Roman" w:eastAsia="Times New Roman" w:hAnsi="Times New Roman" w:cs="Times New Roman"/>
                <w:sz w:val="25"/>
              </w:rPr>
              <w:t>, 1975, „</w:t>
            </w:r>
            <w:proofErr w:type="spellStart"/>
            <w:r w:rsidRPr="006E2742">
              <w:rPr>
                <w:rFonts w:ascii="Times New Roman" w:eastAsia="Times New Roman" w:hAnsi="Times New Roman" w:cs="Times New Roman"/>
                <w:sz w:val="25"/>
              </w:rPr>
              <w:t>Књижевна</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критика</w:t>
            </w:r>
            <w:proofErr w:type="spellEnd"/>
            <w:r w:rsidRPr="006E2742">
              <w:rPr>
                <w:rFonts w:ascii="Times New Roman" w:eastAsia="Times New Roman" w:hAnsi="Times New Roman" w:cs="Times New Roman"/>
                <w:sz w:val="25"/>
              </w:rPr>
              <w:t xml:space="preserve">“, </w:t>
            </w:r>
          </w:p>
          <w:p w:rsidR="0087273D" w:rsidRPr="006E2742" w:rsidRDefault="006F08FE">
            <w:pPr>
              <w:spacing w:after="2" w:line="275" w:lineRule="auto"/>
              <w:ind w:left="1" w:right="316"/>
              <w:jc w:val="both"/>
              <w:rPr>
                <w:rFonts w:ascii="Times New Roman" w:hAnsi="Times New Roman" w:cs="Times New Roman"/>
              </w:rPr>
            </w:pPr>
            <w:r w:rsidRPr="006E2742">
              <w:rPr>
                <w:rFonts w:ascii="Times New Roman" w:eastAsia="Times New Roman" w:hAnsi="Times New Roman" w:cs="Times New Roman"/>
                <w:sz w:val="25"/>
              </w:rPr>
              <w:t xml:space="preserve">20,1989, </w:t>
            </w:r>
            <w:proofErr w:type="spellStart"/>
            <w:r w:rsidRPr="006E2742">
              <w:rPr>
                <w:rFonts w:ascii="Times New Roman" w:eastAsia="Times New Roman" w:hAnsi="Times New Roman" w:cs="Times New Roman"/>
                <w:sz w:val="25"/>
              </w:rPr>
              <w:t>бр.3</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i/>
                <w:sz w:val="25"/>
              </w:rPr>
              <w:t>Теорија</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рецепције</w:t>
            </w:r>
            <w:proofErr w:type="spellEnd"/>
            <w:r w:rsidRPr="006E2742">
              <w:rPr>
                <w:rFonts w:ascii="Times New Roman" w:eastAsia="Times New Roman" w:hAnsi="Times New Roman" w:cs="Times New Roman"/>
                <w:i/>
                <w:sz w:val="25"/>
              </w:rPr>
              <w:t xml:space="preserve"> у </w:t>
            </w:r>
            <w:proofErr w:type="spellStart"/>
            <w:r w:rsidRPr="006E2742">
              <w:rPr>
                <w:rFonts w:ascii="Times New Roman" w:eastAsia="Times New Roman" w:hAnsi="Times New Roman" w:cs="Times New Roman"/>
                <w:i/>
                <w:sz w:val="25"/>
              </w:rPr>
              <w:t>науци</w:t>
            </w:r>
            <w:proofErr w:type="spellEnd"/>
            <w:r w:rsidRPr="006E2742">
              <w:rPr>
                <w:rFonts w:ascii="Times New Roman" w:eastAsia="Times New Roman" w:hAnsi="Times New Roman" w:cs="Times New Roman"/>
                <w:i/>
                <w:sz w:val="25"/>
              </w:rPr>
              <w:t xml:space="preserve"> о </w:t>
            </w:r>
            <w:proofErr w:type="spellStart"/>
            <w:r w:rsidRPr="006E2742">
              <w:rPr>
                <w:rFonts w:ascii="Times New Roman" w:eastAsia="Times New Roman" w:hAnsi="Times New Roman" w:cs="Times New Roman"/>
                <w:i/>
                <w:sz w:val="25"/>
              </w:rPr>
              <w:t>књижевности</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зборник</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радова</w:t>
            </w:r>
            <w:proofErr w:type="spellEnd"/>
            <w:r w:rsidRPr="006E2742">
              <w:rPr>
                <w:rFonts w:ascii="Times New Roman" w:eastAsia="Times New Roman" w:hAnsi="Times New Roman" w:cs="Times New Roman"/>
                <w:sz w:val="25"/>
              </w:rPr>
              <w:t xml:space="preserve">, 1978, </w:t>
            </w:r>
            <w:proofErr w:type="spellStart"/>
            <w:r w:rsidRPr="006E2742">
              <w:rPr>
                <w:rFonts w:ascii="Times New Roman" w:eastAsia="Times New Roman" w:hAnsi="Times New Roman" w:cs="Times New Roman"/>
                <w:sz w:val="25"/>
              </w:rPr>
              <w:t>Умберто</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Еко</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i/>
                <w:sz w:val="25"/>
              </w:rPr>
              <w:t>Границе</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тумачења</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Београд</w:t>
            </w:r>
            <w:proofErr w:type="spellEnd"/>
            <w:r w:rsidRPr="006E2742">
              <w:rPr>
                <w:rFonts w:ascii="Times New Roman" w:eastAsia="Times New Roman" w:hAnsi="Times New Roman" w:cs="Times New Roman"/>
                <w:sz w:val="25"/>
              </w:rPr>
              <w:t xml:space="preserve">, 2001, </w:t>
            </w:r>
            <w:proofErr w:type="spellStart"/>
            <w:r w:rsidRPr="006E2742">
              <w:rPr>
                <w:rFonts w:ascii="Times New Roman" w:eastAsia="Times New Roman" w:hAnsi="Times New Roman" w:cs="Times New Roman"/>
                <w:sz w:val="25"/>
              </w:rPr>
              <w:t>Еко</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Умберто</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i/>
                <w:sz w:val="25"/>
              </w:rPr>
              <w:t>Шест</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шетњи</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по</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наративној</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шуми</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Народна</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књига</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Београд</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2003.Снежана</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Милосављевић</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Милић</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i/>
                <w:sz w:val="25"/>
              </w:rPr>
              <w:t>Фигуре</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читања</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sz w:val="25"/>
              </w:rPr>
              <w:t>Београд</w:t>
            </w:r>
            <w:proofErr w:type="spellEnd"/>
            <w:r w:rsidRPr="006E2742">
              <w:rPr>
                <w:rFonts w:ascii="Times New Roman" w:eastAsia="Times New Roman" w:hAnsi="Times New Roman" w:cs="Times New Roman"/>
                <w:sz w:val="25"/>
              </w:rPr>
              <w:t>, 2013, Marie-</w:t>
            </w:r>
            <w:proofErr w:type="spellStart"/>
            <w:r w:rsidRPr="006E2742">
              <w:rPr>
                <w:rFonts w:ascii="Times New Roman" w:eastAsia="Times New Roman" w:hAnsi="Times New Roman" w:cs="Times New Roman"/>
                <w:sz w:val="25"/>
              </w:rPr>
              <w:t>Lory</w:t>
            </w:r>
            <w:proofErr w:type="spellEnd"/>
            <w:r w:rsidRPr="006E2742">
              <w:rPr>
                <w:rFonts w:ascii="Times New Roman" w:eastAsia="Times New Roman" w:hAnsi="Times New Roman" w:cs="Times New Roman"/>
                <w:sz w:val="25"/>
              </w:rPr>
              <w:t xml:space="preserve"> Ryan,, </w:t>
            </w:r>
            <w:r w:rsidRPr="006E2742">
              <w:rPr>
                <w:rFonts w:ascii="Times New Roman" w:eastAsia="Times New Roman" w:hAnsi="Times New Roman" w:cs="Times New Roman"/>
                <w:i/>
                <w:sz w:val="25"/>
              </w:rPr>
              <w:t>Narrative as Virtual Reality</w:t>
            </w:r>
            <w:r w:rsidRPr="006E2742">
              <w:rPr>
                <w:rFonts w:ascii="Times New Roman" w:eastAsia="Times New Roman" w:hAnsi="Times New Roman" w:cs="Times New Roman"/>
                <w:sz w:val="25"/>
              </w:rPr>
              <w:t>,</w:t>
            </w:r>
            <w:r w:rsidRPr="006E2742">
              <w:rPr>
                <w:rFonts w:ascii="Times New Roman" w:eastAsia="Times New Roman" w:hAnsi="Times New Roman" w:cs="Times New Roman"/>
                <w:i/>
                <w:sz w:val="25"/>
              </w:rPr>
              <w:t xml:space="preserve"> </w:t>
            </w:r>
          </w:p>
          <w:p w:rsidR="0087273D" w:rsidRPr="006E2742" w:rsidRDefault="006F08FE">
            <w:pPr>
              <w:spacing w:line="280" w:lineRule="auto"/>
              <w:ind w:left="1"/>
              <w:jc w:val="both"/>
              <w:rPr>
                <w:rFonts w:ascii="Times New Roman" w:hAnsi="Times New Roman" w:cs="Times New Roman"/>
              </w:rPr>
            </w:pPr>
            <w:r w:rsidRPr="006E2742">
              <w:rPr>
                <w:rFonts w:ascii="Times New Roman" w:eastAsia="Times New Roman" w:hAnsi="Times New Roman" w:cs="Times New Roman"/>
                <w:i/>
                <w:sz w:val="25"/>
              </w:rPr>
              <w:t xml:space="preserve">Immersion and Interactivity in Literature and Electronic Media, </w:t>
            </w:r>
            <w:r w:rsidRPr="006E2742">
              <w:rPr>
                <w:rFonts w:ascii="Times New Roman" w:eastAsia="Times New Roman" w:hAnsi="Times New Roman" w:cs="Times New Roman"/>
                <w:sz w:val="25"/>
              </w:rPr>
              <w:t xml:space="preserve">The Johns Hopkins University Press, Baltimore and London, 2001. David Herman, </w:t>
            </w:r>
            <w:r w:rsidRPr="006E2742">
              <w:rPr>
                <w:rFonts w:ascii="Times New Roman" w:eastAsia="Times New Roman" w:hAnsi="Times New Roman" w:cs="Times New Roman"/>
                <w:i/>
                <w:sz w:val="25"/>
              </w:rPr>
              <w:t>Story logic,</w:t>
            </w:r>
            <w:r w:rsidRPr="006E2742">
              <w:rPr>
                <w:rFonts w:ascii="Times New Roman" w:eastAsia="Times New Roman" w:hAnsi="Times New Roman" w:cs="Times New Roman"/>
                <w:color w:val="231F1F"/>
                <w:sz w:val="25"/>
              </w:rPr>
              <w:t xml:space="preserve"> Lincoln and </w:t>
            </w:r>
          </w:p>
          <w:p w:rsidR="0087273D" w:rsidRPr="006E2742" w:rsidRDefault="006F08FE">
            <w:pPr>
              <w:spacing w:after="20"/>
              <w:ind w:left="1"/>
              <w:rPr>
                <w:rFonts w:ascii="Times New Roman" w:hAnsi="Times New Roman" w:cs="Times New Roman"/>
              </w:rPr>
            </w:pPr>
            <w:r w:rsidRPr="006E2742">
              <w:rPr>
                <w:rFonts w:ascii="Times New Roman" w:eastAsia="Times New Roman" w:hAnsi="Times New Roman" w:cs="Times New Roman"/>
                <w:color w:val="231F1F"/>
                <w:sz w:val="25"/>
              </w:rPr>
              <w:t>London, University of Nebraska Press, 2004,</w:t>
            </w:r>
            <w:r w:rsidRPr="006E2742">
              <w:rPr>
                <w:rFonts w:ascii="Times New Roman" w:eastAsia="Times New Roman" w:hAnsi="Times New Roman" w:cs="Times New Roman"/>
                <w:i/>
                <w:sz w:val="25"/>
              </w:rPr>
              <w:t xml:space="preserve">    </w:t>
            </w:r>
            <w:r w:rsidRPr="006E2742">
              <w:rPr>
                <w:rFonts w:ascii="Times New Roman" w:eastAsia="Times New Roman" w:hAnsi="Times New Roman" w:cs="Times New Roman"/>
                <w:sz w:val="25"/>
              </w:rPr>
              <w:t xml:space="preserve">D. Herman, J. Phelan, P. J. Rabinowitz, B. </w:t>
            </w:r>
          </w:p>
          <w:p w:rsidR="0087273D" w:rsidRPr="006E2742" w:rsidRDefault="006F08FE">
            <w:pPr>
              <w:spacing w:line="275" w:lineRule="auto"/>
              <w:ind w:left="1"/>
              <w:rPr>
                <w:rFonts w:ascii="Times New Roman" w:hAnsi="Times New Roman" w:cs="Times New Roman"/>
              </w:rPr>
            </w:pPr>
            <w:r w:rsidRPr="006E2742">
              <w:rPr>
                <w:rFonts w:ascii="Times New Roman" w:eastAsia="Times New Roman" w:hAnsi="Times New Roman" w:cs="Times New Roman"/>
                <w:sz w:val="25"/>
              </w:rPr>
              <w:t xml:space="preserve">Richardson, R. Warhol, </w:t>
            </w:r>
            <w:r w:rsidRPr="006E2742">
              <w:rPr>
                <w:rFonts w:ascii="Times New Roman" w:eastAsia="Times New Roman" w:hAnsi="Times New Roman" w:cs="Times New Roman"/>
                <w:i/>
                <w:sz w:val="25"/>
              </w:rPr>
              <w:t>Narrative Theory, Core Concepts and Critical Debates</w:t>
            </w:r>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2012.Снежана</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Милосављевић</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Милић</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i/>
                <w:sz w:val="25"/>
              </w:rPr>
              <w:t>Виртуелна</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претприповест</w:t>
            </w:r>
            <w:proofErr w:type="spellEnd"/>
            <w:r w:rsidRPr="006E2742">
              <w:rPr>
                <w:rFonts w:ascii="Times New Roman" w:eastAsia="Times New Roman" w:hAnsi="Times New Roman" w:cs="Times New Roman"/>
                <w:i/>
                <w:sz w:val="25"/>
              </w:rPr>
              <w:t xml:space="preserve"> и </w:t>
            </w:r>
            <w:proofErr w:type="spellStart"/>
            <w:r w:rsidRPr="006E2742">
              <w:rPr>
                <w:rFonts w:ascii="Times New Roman" w:eastAsia="Times New Roman" w:hAnsi="Times New Roman" w:cs="Times New Roman"/>
                <w:i/>
                <w:sz w:val="25"/>
              </w:rPr>
              <w:t>феномен</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урањања</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Philologia</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Mediana</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бр</w:t>
            </w:r>
            <w:proofErr w:type="spellEnd"/>
            <w:r w:rsidRPr="006E2742">
              <w:rPr>
                <w:rFonts w:ascii="Times New Roman" w:eastAsia="Times New Roman" w:hAnsi="Times New Roman" w:cs="Times New Roman"/>
                <w:sz w:val="25"/>
              </w:rPr>
              <w:t xml:space="preserve">. VI, 2014; </w:t>
            </w:r>
            <w:proofErr w:type="spellStart"/>
            <w:proofErr w:type="gramStart"/>
            <w:r w:rsidRPr="006E2742">
              <w:rPr>
                <w:rFonts w:ascii="Times New Roman" w:eastAsia="Times New Roman" w:hAnsi="Times New Roman" w:cs="Times New Roman"/>
                <w:sz w:val="25"/>
              </w:rPr>
              <w:t>Бајар</w:t>
            </w:r>
            <w:proofErr w:type="spellEnd"/>
            <w:r w:rsidRPr="006E2742">
              <w:rPr>
                <w:rFonts w:ascii="Times New Roman" w:eastAsia="Times New Roman" w:hAnsi="Times New Roman" w:cs="Times New Roman"/>
                <w:sz w:val="25"/>
              </w:rPr>
              <w:t xml:space="preserve">  2008</w:t>
            </w:r>
            <w:proofErr w:type="gram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Пјер</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Бајар</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i/>
                <w:sz w:val="25"/>
              </w:rPr>
              <w:t>Како</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да</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говоримо</w:t>
            </w:r>
            <w:proofErr w:type="spellEnd"/>
            <w:r w:rsidRPr="006E2742">
              <w:rPr>
                <w:rFonts w:ascii="Times New Roman" w:eastAsia="Times New Roman" w:hAnsi="Times New Roman" w:cs="Times New Roman"/>
                <w:i/>
                <w:sz w:val="25"/>
              </w:rPr>
              <w:t xml:space="preserve"> о </w:t>
            </w:r>
            <w:proofErr w:type="spellStart"/>
            <w:r w:rsidRPr="006E2742">
              <w:rPr>
                <w:rFonts w:ascii="Times New Roman" w:eastAsia="Times New Roman" w:hAnsi="Times New Roman" w:cs="Times New Roman"/>
                <w:i/>
                <w:sz w:val="25"/>
              </w:rPr>
              <w:t>књигама</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које</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нисмо</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проитали</w:t>
            </w:r>
            <w:proofErr w:type="spellEnd"/>
            <w:proofErr w:type="gramStart"/>
            <w:r w:rsidRPr="006E2742">
              <w:rPr>
                <w:rFonts w:ascii="Times New Roman" w:eastAsia="Times New Roman" w:hAnsi="Times New Roman" w:cs="Times New Roman"/>
                <w:i/>
                <w:sz w:val="25"/>
              </w:rPr>
              <w:t>?</w:t>
            </w:r>
            <w:r w:rsidRPr="006E2742">
              <w:rPr>
                <w:rFonts w:ascii="Times New Roman" w:eastAsia="Times New Roman" w:hAnsi="Times New Roman" w:cs="Times New Roman"/>
                <w:sz w:val="25"/>
              </w:rPr>
              <w:t>,</w:t>
            </w:r>
            <w:proofErr w:type="gram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Службени</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гласник</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Београд</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Бајар</w:t>
            </w:r>
            <w:proofErr w:type="spellEnd"/>
            <w:r w:rsidRPr="006E2742">
              <w:rPr>
                <w:rFonts w:ascii="Times New Roman" w:eastAsia="Times New Roman" w:hAnsi="Times New Roman" w:cs="Times New Roman"/>
                <w:sz w:val="25"/>
              </w:rPr>
              <w:t xml:space="preserve"> 2010. </w:t>
            </w:r>
            <w:proofErr w:type="spellStart"/>
            <w:r w:rsidRPr="006E2742">
              <w:rPr>
                <w:rFonts w:ascii="Times New Roman" w:eastAsia="Times New Roman" w:hAnsi="Times New Roman" w:cs="Times New Roman"/>
                <w:sz w:val="25"/>
              </w:rPr>
              <w:t>Пјер</w:t>
            </w:r>
            <w:proofErr w:type="spellEnd"/>
            <w:r w:rsidRPr="006E2742">
              <w:rPr>
                <w:rFonts w:ascii="Times New Roman" w:eastAsia="Times New Roman" w:hAnsi="Times New Roman" w:cs="Times New Roman"/>
                <w:sz w:val="25"/>
              </w:rPr>
              <w:t xml:space="preserve"> </w:t>
            </w:r>
          </w:p>
          <w:p w:rsidR="0087273D" w:rsidRPr="006E2742" w:rsidRDefault="006F08FE">
            <w:pPr>
              <w:spacing w:after="184"/>
              <w:ind w:left="1"/>
              <w:rPr>
                <w:rFonts w:ascii="Times New Roman" w:hAnsi="Times New Roman" w:cs="Times New Roman"/>
              </w:rPr>
            </w:pPr>
            <w:proofErr w:type="spellStart"/>
            <w:r w:rsidRPr="006E2742">
              <w:rPr>
                <w:rFonts w:ascii="Times New Roman" w:eastAsia="Times New Roman" w:hAnsi="Times New Roman" w:cs="Times New Roman"/>
                <w:sz w:val="25"/>
              </w:rPr>
              <w:t>Бајар</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i/>
                <w:sz w:val="25"/>
              </w:rPr>
              <w:t>Антиципирани</w:t>
            </w:r>
            <w:proofErr w:type="spellEnd"/>
            <w:r w:rsidRPr="006E2742">
              <w:rPr>
                <w:rFonts w:ascii="Times New Roman" w:eastAsia="Times New Roman" w:hAnsi="Times New Roman" w:cs="Times New Roman"/>
                <w:i/>
                <w:sz w:val="25"/>
              </w:rPr>
              <w:t xml:space="preserve"> </w:t>
            </w:r>
            <w:proofErr w:type="spellStart"/>
            <w:r w:rsidRPr="006E2742">
              <w:rPr>
                <w:rFonts w:ascii="Times New Roman" w:eastAsia="Times New Roman" w:hAnsi="Times New Roman" w:cs="Times New Roman"/>
                <w:i/>
                <w:sz w:val="25"/>
              </w:rPr>
              <w:t>плагијат</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Службени</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гласник</w:t>
            </w:r>
            <w:proofErr w:type="spellEnd"/>
            <w:r w:rsidRPr="006E2742">
              <w:rPr>
                <w:rFonts w:ascii="Times New Roman" w:eastAsia="Times New Roman" w:hAnsi="Times New Roman" w:cs="Times New Roman"/>
                <w:sz w:val="25"/>
              </w:rPr>
              <w:t xml:space="preserve">, </w:t>
            </w:r>
            <w:proofErr w:type="spellStart"/>
            <w:r w:rsidRPr="006E2742">
              <w:rPr>
                <w:rFonts w:ascii="Times New Roman" w:eastAsia="Times New Roman" w:hAnsi="Times New Roman" w:cs="Times New Roman"/>
                <w:sz w:val="25"/>
              </w:rPr>
              <w:t>Београд</w:t>
            </w:r>
            <w:proofErr w:type="spellEnd"/>
            <w:r w:rsidRPr="006E2742">
              <w:rPr>
                <w:rFonts w:ascii="Times New Roman" w:eastAsia="Times New Roman" w:hAnsi="Times New Roman" w:cs="Times New Roman"/>
                <w:sz w:val="25"/>
              </w:rPr>
              <w:t xml:space="preserve"> </w:t>
            </w:r>
          </w:p>
          <w:p w:rsidR="0087273D" w:rsidRPr="006E2742" w:rsidRDefault="006F08FE">
            <w:pPr>
              <w:ind w:left="1"/>
              <w:rPr>
                <w:rFonts w:ascii="Times New Roman" w:hAnsi="Times New Roman" w:cs="Times New Roman"/>
              </w:rPr>
            </w:pPr>
            <w:r w:rsidRPr="006E2742">
              <w:rPr>
                <w:rFonts w:ascii="Times New Roman" w:eastAsia="Times New Roman" w:hAnsi="Times New Roman" w:cs="Times New Roman"/>
                <w:sz w:val="21"/>
              </w:rPr>
              <w:t xml:space="preserve"> </w:t>
            </w:r>
          </w:p>
          <w:p w:rsidR="0087273D" w:rsidRPr="006E2742" w:rsidRDefault="006F08FE">
            <w:pPr>
              <w:ind w:left="1"/>
              <w:rPr>
                <w:rFonts w:ascii="Times New Roman" w:hAnsi="Times New Roman" w:cs="Times New Roman"/>
              </w:rPr>
            </w:pPr>
            <w:r w:rsidRPr="006E2742">
              <w:rPr>
                <w:rFonts w:ascii="Times New Roman" w:eastAsia="Times New Roman" w:hAnsi="Times New Roman" w:cs="Times New Roman"/>
                <w:sz w:val="21"/>
              </w:rPr>
              <w:t xml:space="preserve"> </w:t>
            </w:r>
          </w:p>
          <w:p w:rsidR="0087273D" w:rsidRPr="006E2742" w:rsidRDefault="006F08FE">
            <w:pPr>
              <w:ind w:left="1"/>
              <w:rPr>
                <w:rFonts w:ascii="Times New Roman" w:hAnsi="Times New Roman" w:cs="Times New Roman"/>
              </w:rPr>
            </w:pPr>
            <w:r w:rsidRPr="006E2742">
              <w:rPr>
                <w:rFonts w:ascii="Times New Roman" w:eastAsia="Times New Roman" w:hAnsi="Times New Roman" w:cs="Times New Roman"/>
                <w:sz w:val="21"/>
              </w:rPr>
              <w:t xml:space="preserve"> </w:t>
            </w:r>
          </w:p>
        </w:tc>
      </w:tr>
      <w:tr w:rsidR="0087273D" w:rsidRPr="006E274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87273D" w:rsidRPr="006E2742" w:rsidRDefault="006E2742">
            <w:pPr>
              <w:ind w:left="1"/>
              <w:rPr>
                <w:rFonts w:ascii="Times New Roman" w:hAnsi="Times New Roman" w:cs="Times New Roman"/>
              </w:rPr>
            </w:pPr>
            <w:r w:rsidRPr="006E2742">
              <w:rPr>
                <w:rFonts w:ascii="Times New Roman" w:eastAsia="Times New Roman" w:hAnsi="Times New Roman" w:cs="Times New Roman"/>
                <w:b/>
                <w:sz w:val="21"/>
              </w:rPr>
              <w:t>Forms of knowledge testing and assessment:</w:t>
            </w:r>
          </w:p>
        </w:tc>
      </w:tr>
      <w:tr w:rsidR="0087273D" w:rsidRPr="006E2742">
        <w:trPr>
          <w:trHeight w:val="251"/>
        </w:trPr>
        <w:tc>
          <w:tcPr>
            <w:tcW w:w="9386" w:type="dxa"/>
            <w:gridSpan w:val="6"/>
            <w:tcBorders>
              <w:top w:val="single" w:sz="4" w:space="0" w:color="000000"/>
              <w:left w:val="single" w:sz="4" w:space="0" w:color="000000"/>
              <w:bottom w:val="single" w:sz="4" w:space="0" w:color="000000"/>
              <w:right w:val="single" w:sz="4" w:space="0" w:color="000000"/>
            </w:tcBorders>
          </w:tcPr>
          <w:p w:rsidR="0087273D" w:rsidRPr="006E2742" w:rsidRDefault="006F08FE">
            <w:pPr>
              <w:ind w:left="1"/>
              <w:rPr>
                <w:rFonts w:ascii="Times New Roman" w:hAnsi="Times New Roman" w:cs="Times New Roman"/>
              </w:rPr>
            </w:pPr>
            <w:r w:rsidRPr="006E2742">
              <w:rPr>
                <w:rFonts w:ascii="Times New Roman" w:eastAsia="Times New Roman" w:hAnsi="Times New Roman" w:cs="Times New Roman"/>
                <w:sz w:val="21"/>
              </w:rPr>
              <w:t xml:space="preserve"> </w:t>
            </w:r>
          </w:p>
        </w:tc>
      </w:tr>
      <w:tr w:rsidR="006E2742" w:rsidRPr="006E2742" w:rsidTr="006E2742">
        <w:trPr>
          <w:trHeight w:val="504"/>
        </w:trPr>
        <w:tc>
          <w:tcPr>
            <w:tcW w:w="2511" w:type="dxa"/>
            <w:tcBorders>
              <w:top w:val="single" w:sz="4" w:space="0" w:color="000000"/>
              <w:left w:val="single" w:sz="4" w:space="0" w:color="000000"/>
              <w:bottom w:val="single" w:sz="4" w:space="0" w:color="000000"/>
              <w:right w:val="single" w:sz="4" w:space="0" w:color="000000"/>
            </w:tcBorders>
          </w:tcPr>
          <w:p w:rsidR="006E2742" w:rsidRPr="006E2742" w:rsidRDefault="006E2742" w:rsidP="006E2742">
            <w:pPr>
              <w:rPr>
                <w:rFonts w:ascii="Times New Roman" w:hAnsi="Times New Roman" w:cs="Times New Roman"/>
              </w:rPr>
            </w:pPr>
            <w:r w:rsidRPr="006E2742">
              <w:rPr>
                <w:rFonts w:ascii="Times New Roman" w:hAnsi="Times New Roman" w:cs="Times New Roman"/>
              </w:rPr>
              <w:t>written exam - seminar paper</w:t>
            </w:r>
          </w:p>
        </w:tc>
        <w:tc>
          <w:tcPr>
            <w:tcW w:w="1094" w:type="dxa"/>
            <w:tcBorders>
              <w:top w:val="single" w:sz="4" w:space="0" w:color="000000"/>
              <w:left w:val="single" w:sz="4" w:space="0" w:color="000000"/>
              <w:bottom w:val="single" w:sz="4" w:space="0" w:color="000000"/>
              <w:right w:val="single" w:sz="4" w:space="0" w:color="000000"/>
            </w:tcBorders>
          </w:tcPr>
          <w:p w:rsidR="006E2742" w:rsidRPr="006E2742" w:rsidRDefault="006E2742" w:rsidP="006E2742">
            <w:pPr>
              <w:ind w:left="5"/>
              <w:rPr>
                <w:rFonts w:ascii="Times New Roman" w:hAnsi="Times New Roman" w:cs="Times New Roman"/>
              </w:rPr>
            </w:pPr>
            <w:r w:rsidRPr="006E2742">
              <w:rPr>
                <w:rFonts w:ascii="Times New Roman" w:eastAsia="Times New Roman" w:hAnsi="Times New Roman" w:cs="Times New Roman"/>
                <w:sz w:val="21"/>
              </w:rPr>
              <w:t xml:space="preserve"> </w:t>
            </w:r>
          </w:p>
          <w:p w:rsidR="006E2742" w:rsidRPr="006E2742" w:rsidRDefault="006E2742" w:rsidP="006E2742">
            <w:pPr>
              <w:ind w:left="5"/>
              <w:rPr>
                <w:rFonts w:ascii="Times New Roman" w:hAnsi="Times New Roman" w:cs="Times New Roman"/>
              </w:rPr>
            </w:pPr>
            <w:r w:rsidRPr="006E2742">
              <w:rPr>
                <w:rFonts w:ascii="Times New Roman" w:eastAsia="Times New Roman" w:hAnsi="Times New Roman" w:cs="Times New Roman"/>
                <w:sz w:val="21"/>
              </w:rPr>
              <w:t xml:space="preserve">50 </w:t>
            </w:r>
          </w:p>
        </w:tc>
        <w:tc>
          <w:tcPr>
            <w:tcW w:w="1930" w:type="dxa"/>
            <w:tcBorders>
              <w:top w:val="single" w:sz="4" w:space="0" w:color="000000"/>
              <w:left w:val="single" w:sz="4" w:space="0" w:color="000000"/>
              <w:bottom w:val="single" w:sz="4" w:space="0" w:color="000000"/>
              <w:right w:val="single" w:sz="4" w:space="0" w:color="000000"/>
            </w:tcBorders>
          </w:tcPr>
          <w:p w:rsidR="006E2742" w:rsidRPr="006E2742" w:rsidRDefault="006E2742" w:rsidP="006E2742">
            <w:pPr>
              <w:rPr>
                <w:rFonts w:ascii="Times New Roman" w:hAnsi="Times New Roman" w:cs="Times New Roman"/>
              </w:rPr>
            </w:pPr>
            <w:r w:rsidRPr="006E2742">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6E2742" w:rsidRPr="006E2742" w:rsidRDefault="006E2742" w:rsidP="006E2742">
            <w:pPr>
              <w:rPr>
                <w:rFonts w:ascii="Times New Roman" w:hAnsi="Times New Roman" w:cs="Times New Roman"/>
              </w:rPr>
            </w:pPr>
            <w:r w:rsidRPr="006E2742">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6E2742" w:rsidRPr="006E2742" w:rsidRDefault="006E2742" w:rsidP="006E2742">
            <w:pPr>
              <w:rPr>
                <w:rFonts w:ascii="Times New Roman" w:hAnsi="Times New Roman" w:cs="Times New Roman"/>
              </w:rPr>
            </w:pPr>
            <w:r w:rsidRPr="006E2742">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6E2742" w:rsidRPr="006E2742" w:rsidRDefault="006E2742" w:rsidP="006E2742">
            <w:pPr>
              <w:rPr>
                <w:rFonts w:ascii="Times New Roman" w:hAnsi="Times New Roman" w:cs="Times New Roman"/>
              </w:rPr>
            </w:pPr>
            <w:r w:rsidRPr="006E2742">
              <w:rPr>
                <w:rFonts w:ascii="Times New Roman" w:eastAsia="Times New Roman" w:hAnsi="Times New Roman" w:cs="Times New Roman"/>
                <w:sz w:val="20"/>
              </w:rPr>
              <w:t xml:space="preserve"> </w:t>
            </w:r>
          </w:p>
        </w:tc>
      </w:tr>
      <w:tr w:rsidR="006E2742" w:rsidRPr="006E2742" w:rsidTr="006E2742">
        <w:trPr>
          <w:trHeight w:val="260"/>
        </w:trPr>
        <w:tc>
          <w:tcPr>
            <w:tcW w:w="2511" w:type="dxa"/>
            <w:tcBorders>
              <w:top w:val="single" w:sz="4" w:space="0" w:color="000000"/>
              <w:left w:val="single" w:sz="4" w:space="0" w:color="000000"/>
              <w:bottom w:val="single" w:sz="4" w:space="0" w:color="000000"/>
              <w:right w:val="single" w:sz="4" w:space="0" w:color="000000"/>
            </w:tcBorders>
          </w:tcPr>
          <w:p w:rsidR="006E2742" w:rsidRPr="006E2742" w:rsidRDefault="006E2742" w:rsidP="006E2742">
            <w:pPr>
              <w:rPr>
                <w:rFonts w:ascii="Times New Roman" w:hAnsi="Times New Roman" w:cs="Times New Roman"/>
              </w:rPr>
            </w:pPr>
            <w:r w:rsidRPr="006E2742">
              <w:rPr>
                <w:rFonts w:ascii="Times New Roman" w:hAnsi="Times New Roman" w:cs="Times New Roman"/>
              </w:rPr>
              <w:t>practical teaching</w:t>
            </w:r>
          </w:p>
        </w:tc>
        <w:tc>
          <w:tcPr>
            <w:tcW w:w="1094" w:type="dxa"/>
            <w:tcBorders>
              <w:top w:val="single" w:sz="4" w:space="0" w:color="000000"/>
              <w:left w:val="single" w:sz="4" w:space="0" w:color="000000"/>
              <w:bottom w:val="single" w:sz="4" w:space="0" w:color="000000"/>
              <w:right w:val="single" w:sz="4" w:space="0" w:color="000000"/>
            </w:tcBorders>
          </w:tcPr>
          <w:p w:rsidR="006E2742" w:rsidRPr="006E2742" w:rsidRDefault="006E2742" w:rsidP="006E2742">
            <w:pPr>
              <w:ind w:left="5"/>
              <w:rPr>
                <w:rFonts w:ascii="Times New Roman" w:hAnsi="Times New Roman" w:cs="Times New Roman"/>
              </w:rPr>
            </w:pPr>
            <w:r w:rsidRPr="006E2742">
              <w:rPr>
                <w:rFonts w:ascii="Times New Roman" w:eastAsia="Times New Roman" w:hAnsi="Times New Roman" w:cs="Times New Roman"/>
                <w:sz w:val="21"/>
              </w:rPr>
              <w:t>50</w:t>
            </w:r>
            <w:r w:rsidRPr="006E2742">
              <w:rPr>
                <w:rFonts w:ascii="Times New Roman" w:eastAsia="Times New Roman" w:hAnsi="Times New Roman" w:cs="Times New Roman"/>
                <w:sz w:val="25"/>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6E2742" w:rsidRPr="006E2742" w:rsidRDefault="006E2742" w:rsidP="006E2742">
            <w:pPr>
              <w:rPr>
                <w:rFonts w:ascii="Times New Roman" w:hAnsi="Times New Roman" w:cs="Times New Roman"/>
              </w:rPr>
            </w:pPr>
            <w:r w:rsidRPr="006E2742">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6E2742" w:rsidRPr="006E2742" w:rsidRDefault="006E2742" w:rsidP="006E2742">
            <w:pPr>
              <w:rPr>
                <w:rFonts w:ascii="Times New Roman" w:hAnsi="Times New Roman" w:cs="Times New Roman"/>
              </w:rPr>
            </w:pPr>
            <w:r w:rsidRPr="006E2742">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6E2742" w:rsidRPr="006E2742" w:rsidRDefault="006E2742" w:rsidP="006E2742">
            <w:pPr>
              <w:rPr>
                <w:rFonts w:ascii="Times New Roman" w:hAnsi="Times New Roman" w:cs="Times New Roman"/>
              </w:rPr>
            </w:pPr>
            <w:r w:rsidRPr="006E2742">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6E2742" w:rsidRPr="006E2742" w:rsidRDefault="006E2742" w:rsidP="006E2742">
            <w:pPr>
              <w:rPr>
                <w:rFonts w:ascii="Times New Roman" w:hAnsi="Times New Roman" w:cs="Times New Roman"/>
              </w:rPr>
            </w:pPr>
            <w:r w:rsidRPr="006E2742">
              <w:rPr>
                <w:rFonts w:ascii="Times New Roman" w:eastAsia="Times New Roman" w:hAnsi="Times New Roman" w:cs="Times New Roman"/>
                <w:sz w:val="21"/>
              </w:rPr>
              <w:t xml:space="preserve"> </w:t>
            </w:r>
          </w:p>
        </w:tc>
      </w:tr>
      <w:tr w:rsidR="0087273D" w:rsidRPr="006E2742">
        <w:trPr>
          <w:trHeight w:val="24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87273D" w:rsidRPr="006E2742" w:rsidRDefault="006E2742">
            <w:pPr>
              <w:ind w:left="1"/>
              <w:rPr>
                <w:rFonts w:ascii="Times New Roman" w:hAnsi="Times New Roman" w:cs="Times New Roman"/>
              </w:rPr>
            </w:pPr>
            <w:r w:rsidRPr="006E2742">
              <w:rPr>
                <w:rFonts w:ascii="Times New Roman" w:eastAsia="Times New Roman" w:hAnsi="Times New Roman" w:cs="Times New Roman"/>
                <w:b/>
                <w:sz w:val="21"/>
              </w:rPr>
              <w:t>Special indication for the subject</w:t>
            </w:r>
          </w:p>
        </w:tc>
      </w:tr>
      <w:tr w:rsidR="0087273D" w:rsidRPr="006E2742">
        <w:trPr>
          <w:trHeight w:val="262"/>
        </w:trPr>
        <w:tc>
          <w:tcPr>
            <w:tcW w:w="9386" w:type="dxa"/>
            <w:gridSpan w:val="6"/>
            <w:tcBorders>
              <w:top w:val="single" w:sz="4" w:space="0" w:color="000000"/>
              <w:left w:val="single" w:sz="4" w:space="0" w:color="000000"/>
              <w:bottom w:val="single" w:sz="4" w:space="0" w:color="000000"/>
              <w:right w:val="single" w:sz="4" w:space="0" w:color="000000"/>
            </w:tcBorders>
          </w:tcPr>
          <w:p w:rsidR="0087273D" w:rsidRPr="006E2742" w:rsidRDefault="006F08FE">
            <w:pPr>
              <w:ind w:left="1"/>
              <w:rPr>
                <w:rFonts w:ascii="Times New Roman" w:hAnsi="Times New Roman" w:cs="Times New Roman"/>
              </w:rPr>
            </w:pPr>
            <w:r w:rsidRPr="006E2742">
              <w:rPr>
                <w:rFonts w:ascii="Times New Roman" w:eastAsia="Times New Roman" w:hAnsi="Times New Roman" w:cs="Times New Roman"/>
                <w:sz w:val="21"/>
              </w:rPr>
              <w:t xml:space="preserve"> </w:t>
            </w:r>
          </w:p>
        </w:tc>
      </w:tr>
      <w:tr w:rsidR="0087273D" w:rsidRPr="006E2742">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87273D" w:rsidRPr="006E2742" w:rsidRDefault="006E2742">
            <w:pPr>
              <w:ind w:left="1"/>
              <w:rPr>
                <w:rFonts w:ascii="Times New Roman" w:hAnsi="Times New Roman" w:cs="Times New Roman"/>
              </w:rPr>
            </w:pPr>
            <w:r>
              <w:rPr>
                <w:rFonts w:ascii="Times New Roman" w:eastAsia="Times New Roman" w:hAnsi="Times New Roman" w:cs="Times New Roman"/>
                <w:b/>
                <w:sz w:val="21"/>
              </w:rPr>
              <w:t xml:space="preserve">Name and surname of the professor who prepared the data: </w:t>
            </w:r>
            <w:r w:rsidRPr="006E2742">
              <w:rPr>
                <w:rFonts w:ascii="Times New Roman" w:eastAsia="Times New Roman" w:hAnsi="Times New Roman" w:cs="Times New Roman"/>
                <w:b/>
                <w:sz w:val="21"/>
              </w:rPr>
              <w:t xml:space="preserve"> </w:t>
            </w:r>
            <w:proofErr w:type="spellStart"/>
            <w:r w:rsidRPr="006E2742">
              <w:rPr>
                <w:rFonts w:ascii="Times New Roman" w:eastAsia="Times New Roman" w:hAnsi="Times New Roman" w:cs="Times New Roman"/>
                <w:b/>
                <w:sz w:val="21"/>
              </w:rPr>
              <w:t>Snežana</w:t>
            </w:r>
            <w:proofErr w:type="spellEnd"/>
            <w:r w:rsidRPr="006E2742">
              <w:rPr>
                <w:rFonts w:ascii="Times New Roman" w:eastAsia="Times New Roman" w:hAnsi="Times New Roman" w:cs="Times New Roman"/>
                <w:b/>
                <w:sz w:val="21"/>
              </w:rPr>
              <w:t xml:space="preserve"> </w:t>
            </w:r>
            <w:proofErr w:type="spellStart"/>
            <w:r w:rsidRPr="006E2742">
              <w:rPr>
                <w:rFonts w:ascii="Times New Roman" w:eastAsia="Times New Roman" w:hAnsi="Times New Roman" w:cs="Times New Roman"/>
                <w:b/>
                <w:sz w:val="21"/>
              </w:rPr>
              <w:t>Milosavljević</w:t>
            </w:r>
            <w:proofErr w:type="spellEnd"/>
            <w:r w:rsidRPr="006E2742">
              <w:rPr>
                <w:rFonts w:ascii="Times New Roman" w:eastAsia="Times New Roman" w:hAnsi="Times New Roman" w:cs="Times New Roman"/>
                <w:b/>
                <w:sz w:val="21"/>
              </w:rPr>
              <w:t xml:space="preserve"> </w:t>
            </w:r>
            <w:proofErr w:type="spellStart"/>
            <w:r w:rsidRPr="006E2742">
              <w:rPr>
                <w:rFonts w:ascii="Times New Roman" w:eastAsia="Times New Roman" w:hAnsi="Times New Roman" w:cs="Times New Roman"/>
                <w:b/>
                <w:sz w:val="21"/>
              </w:rPr>
              <w:t>Milić</w:t>
            </w:r>
            <w:proofErr w:type="spellEnd"/>
            <w:r>
              <w:rPr>
                <w:rFonts w:ascii="Times New Roman" w:eastAsia="Times New Roman" w:hAnsi="Times New Roman" w:cs="Times New Roman"/>
                <w:b/>
                <w:sz w:val="21"/>
              </w:rPr>
              <w:t>, PhD</w:t>
            </w:r>
          </w:p>
        </w:tc>
      </w:tr>
    </w:tbl>
    <w:p w:rsidR="0087273D" w:rsidRPr="006E2742" w:rsidRDefault="006F08FE">
      <w:pPr>
        <w:spacing w:after="0"/>
        <w:ind w:left="-38"/>
        <w:jc w:val="both"/>
        <w:rPr>
          <w:rFonts w:ascii="Times New Roman" w:hAnsi="Times New Roman" w:cs="Times New Roman"/>
        </w:rPr>
      </w:pPr>
      <w:r w:rsidRPr="006E2742">
        <w:rPr>
          <w:rFonts w:ascii="Times New Roman" w:eastAsia="Times New Roman" w:hAnsi="Times New Roman" w:cs="Times New Roman"/>
          <w:sz w:val="25"/>
        </w:rPr>
        <w:t xml:space="preserve"> </w:t>
      </w:r>
    </w:p>
    <w:p w:rsidR="0087273D" w:rsidRPr="006E2742" w:rsidRDefault="006F08FE">
      <w:pPr>
        <w:spacing w:after="0"/>
        <w:ind w:left="-38"/>
        <w:jc w:val="both"/>
        <w:rPr>
          <w:rFonts w:ascii="Times New Roman" w:hAnsi="Times New Roman" w:cs="Times New Roman"/>
        </w:rPr>
      </w:pPr>
      <w:r w:rsidRPr="006E2742">
        <w:rPr>
          <w:rFonts w:ascii="Times New Roman" w:eastAsia="Times New Roman" w:hAnsi="Times New Roman" w:cs="Times New Roman"/>
          <w:sz w:val="25"/>
        </w:rPr>
        <w:t xml:space="preserve"> </w:t>
      </w:r>
    </w:p>
    <w:p w:rsidR="0087273D" w:rsidRPr="006E2742" w:rsidRDefault="006F08FE">
      <w:pPr>
        <w:spacing w:after="0"/>
        <w:ind w:left="-38"/>
        <w:jc w:val="both"/>
        <w:rPr>
          <w:rFonts w:ascii="Times New Roman" w:hAnsi="Times New Roman" w:cs="Times New Roman"/>
        </w:rPr>
      </w:pPr>
      <w:r w:rsidRPr="006E2742">
        <w:rPr>
          <w:rFonts w:ascii="Times New Roman" w:eastAsia="Times New Roman" w:hAnsi="Times New Roman" w:cs="Times New Roman"/>
          <w:sz w:val="25"/>
        </w:rPr>
        <w:t xml:space="preserve"> </w:t>
      </w:r>
    </w:p>
    <w:sectPr w:rsidR="0087273D" w:rsidRPr="006E274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3D"/>
    <w:rsid w:val="002661B0"/>
    <w:rsid w:val="006E2742"/>
    <w:rsid w:val="006F08FE"/>
    <w:rsid w:val="007B7E17"/>
    <w:rsid w:val="0087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D873B-4A1D-48C3-B6E2-E47E3144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5</cp:revision>
  <dcterms:created xsi:type="dcterms:W3CDTF">2024-02-15T08:36:00Z</dcterms:created>
  <dcterms:modified xsi:type="dcterms:W3CDTF">2024-02-19T01:16:00Z</dcterms:modified>
</cp:coreProperties>
</file>