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90" w:type="dxa"/>
        <w:tblInd w:w="-144" w:type="dxa"/>
        <w:tblLook w:val="04A0" w:firstRow="1" w:lastRow="0" w:firstColumn="1" w:lastColumn="0" w:noHBand="0" w:noVBand="1"/>
      </w:tblPr>
      <w:tblGrid>
        <w:gridCol w:w="570"/>
        <w:gridCol w:w="1118"/>
        <w:gridCol w:w="89"/>
        <w:gridCol w:w="89"/>
        <w:gridCol w:w="391"/>
        <w:gridCol w:w="593"/>
        <w:gridCol w:w="6540"/>
      </w:tblGrid>
      <w:tr w:rsidR="00732F37" w:rsidRPr="00252F7D">
        <w:trPr>
          <w:trHeight w:val="99"/>
        </w:trPr>
        <w:tc>
          <w:tcPr>
            <w:tcW w:w="634" w:type="dxa"/>
            <w:vMerge w:val="restart"/>
            <w:tcBorders>
              <w:top w:val="single" w:sz="4" w:space="0" w:color="000000"/>
              <w:left w:val="single" w:sz="4" w:space="0" w:color="000000"/>
              <w:bottom w:val="single" w:sz="4" w:space="0" w:color="000000"/>
              <w:right w:val="single" w:sz="2" w:space="0" w:color="FFFFFF"/>
            </w:tcBorders>
          </w:tcPr>
          <w:p w:rsidR="00770979" w:rsidRPr="00252F7D" w:rsidRDefault="00770979">
            <w:pPr>
              <w:rPr>
                <w:rFonts w:ascii="Times New Roman" w:hAnsi="Times New Roman" w:cs="Times New Roman"/>
              </w:rPr>
            </w:pPr>
          </w:p>
        </w:tc>
        <w:tc>
          <w:tcPr>
            <w:tcW w:w="494" w:type="dxa"/>
            <w:vMerge w:val="restart"/>
            <w:tcBorders>
              <w:top w:val="single" w:sz="4" w:space="0" w:color="000000"/>
              <w:left w:val="single" w:sz="2" w:space="0" w:color="FFFFFF"/>
              <w:bottom w:val="single" w:sz="4" w:space="0" w:color="000000"/>
              <w:right w:val="nil"/>
            </w:tcBorders>
          </w:tcPr>
          <w:p w:rsidR="00770979" w:rsidRPr="00252F7D" w:rsidRDefault="00F9529A">
            <w:pPr>
              <w:rPr>
                <w:rFonts w:ascii="Times New Roman" w:hAnsi="Times New Roman" w:cs="Times New Roman"/>
              </w:rPr>
            </w:pPr>
            <w:r w:rsidRPr="00252F7D">
              <w:rPr>
                <w:rFonts w:ascii="Times New Roman" w:eastAsia="Times New Roman" w:hAnsi="Times New Roman" w:cs="Times New Roman"/>
                <w:color w:val="0000FF"/>
                <w:sz w:val="10"/>
              </w:rPr>
              <w:t xml:space="preserve">    </w:t>
            </w:r>
            <w:r w:rsidR="00732F37" w:rsidRPr="00252F7D">
              <w:rPr>
                <w:rFonts w:ascii="Times New Roman" w:hAnsi="Times New Roman" w:cs="Times New Roman"/>
                <w:noProof/>
              </w:rPr>
              <w:drawing>
                <wp:inline distT="0" distB="0" distL="0" distR="0" wp14:anchorId="238684EE" wp14:editId="7AA660C5">
                  <wp:extent cx="707136" cy="707136"/>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5"/>
                          <a:stretch>
                            <a:fillRect/>
                          </a:stretch>
                        </pic:blipFill>
                        <pic:spPr>
                          <a:xfrm>
                            <a:off x="0" y="0"/>
                            <a:ext cx="707136" cy="707136"/>
                          </a:xfrm>
                          <a:prstGeom prst="rect">
                            <a:avLst/>
                          </a:prstGeom>
                        </pic:spPr>
                      </pic:pic>
                    </a:graphicData>
                  </a:graphic>
                </wp:inline>
              </w:drawing>
            </w:r>
            <w:r w:rsidRPr="00252F7D">
              <w:rPr>
                <w:rFonts w:ascii="Times New Roman" w:eastAsia="Times New Roman" w:hAnsi="Times New Roman" w:cs="Times New Roman"/>
                <w:color w:val="0000FF"/>
                <w:sz w:val="10"/>
              </w:rPr>
              <w:t xml:space="preserve">      </w:t>
            </w:r>
          </w:p>
        </w:tc>
        <w:tc>
          <w:tcPr>
            <w:tcW w:w="98" w:type="dxa"/>
            <w:tcBorders>
              <w:top w:val="single" w:sz="4" w:space="0" w:color="000000"/>
              <w:left w:val="single" w:sz="2" w:space="0" w:color="0000FF"/>
              <w:bottom w:val="single" w:sz="2" w:space="0" w:color="0000FF"/>
              <w:right w:val="double" w:sz="2" w:space="0" w:color="0000FF"/>
            </w:tcBorders>
          </w:tcPr>
          <w:p w:rsidR="00770979" w:rsidRPr="00252F7D" w:rsidRDefault="00770979">
            <w:pPr>
              <w:rPr>
                <w:rFonts w:ascii="Times New Roman" w:hAnsi="Times New Roman" w:cs="Times New Roman"/>
              </w:rPr>
            </w:pPr>
          </w:p>
        </w:tc>
        <w:tc>
          <w:tcPr>
            <w:tcW w:w="98" w:type="dxa"/>
            <w:tcBorders>
              <w:top w:val="single" w:sz="4" w:space="0" w:color="000000"/>
              <w:left w:val="double" w:sz="2" w:space="0" w:color="0000FF"/>
              <w:bottom w:val="single" w:sz="2" w:space="0" w:color="0000FF"/>
              <w:right w:val="single" w:sz="2" w:space="0" w:color="0000FF"/>
            </w:tcBorders>
          </w:tcPr>
          <w:p w:rsidR="00770979" w:rsidRPr="00252F7D" w:rsidRDefault="00770979">
            <w:pPr>
              <w:rPr>
                <w:rFonts w:ascii="Times New Roman" w:hAnsi="Times New Roman" w:cs="Times New Roman"/>
              </w:rPr>
            </w:pPr>
          </w:p>
        </w:tc>
        <w:tc>
          <w:tcPr>
            <w:tcW w:w="422" w:type="dxa"/>
            <w:vMerge w:val="restart"/>
            <w:tcBorders>
              <w:top w:val="single" w:sz="4" w:space="0" w:color="000000"/>
              <w:left w:val="nil"/>
              <w:bottom w:val="single" w:sz="4" w:space="0" w:color="000000"/>
              <w:right w:val="single" w:sz="2" w:space="0" w:color="FFFFFF"/>
            </w:tcBorders>
          </w:tcPr>
          <w:p w:rsidR="00770979" w:rsidRPr="00252F7D" w:rsidRDefault="00F9529A">
            <w:pPr>
              <w:ind w:left="120"/>
              <w:jc w:val="center"/>
              <w:rPr>
                <w:rFonts w:ascii="Times New Roman" w:hAnsi="Times New Roman" w:cs="Times New Roman"/>
              </w:rPr>
            </w:pPr>
            <w:r w:rsidRPr="00252F7D">
              <w:rPr>
                <w:rFonts w:ascii="Times New Roman" w:eastAsia="Times New Roman" w:hAnsi="Times New Roman" w:cs="Times New Roman"/>
                <w:sz w:val="10"/>
              </w:rPr>
              <w:t xml:space="preserve"> </w:t>
            </w:r>
          </w:p>
        </w:tc>
        <w:tc>
          <w:tcPr>
            <w:tcW w:w="7643" w:type="dxa"/>
            <w:gridSpan w:val="2"/>
            <w:vMerge w:val="restart"/>
            <w:tcBorders>
              <w:top w:val="single" w:sz="4" w:space="0" w:color="000000"/>
              <w:left w:val="single" w:sz="2" w:space="0" w:color="FFFFFF"/>
              <w:bottom w:val="single" w:sz="4" w:space="0" w:color="000000"/>
              <w:right w:val="single" w:sz="4" w:space="0" w:color="000000"/>
            </w:tcBorders>
            <w:vAlign w:val="bottom"/>
          </w:tcPr>
          <w:p w:rsidR="00770979" w:rsidRPr="00252F7D" w:rsidRDefault="00732F37" w:rsidP="00732F37">
            <w:pPr>
              <w:ind w:left="1080"/>
              <w:rPr>
                <w:rFonts w:ascii="Times New Roman" w:hAnsi="Times New Roman" w:cs="Times New Roman"/>
              </w:rPr>
            </w:pPr>
            <w:r w:rsidRPr="00252F7D">
              <w:rPr>
                <w:rFonts w:ascii="Times New Roman" w:eastAsia="Times New Roman" w:hAnsi="Times New Roman" w:cs="Times New Roman"/>
                <w:b/>
                <w:sz w:val="23"/>
              </w:rPr>
              <w:t>UNIVERSITY OF BANJA LUKA</w:t>
            </w:r>
            <w:r w:rsidR="00F9529A" w:rsidRPr="00252F7D">
              <w:rPr>
                <w:rFonts w:ascii="Times New Roman" w:eastAsia="Times New Roman" w:hAnsi="Times New Roman" w:cs="Times New Roman"/>
                <w:b/>
                <w:sz w:val="15"/>
              </w:rPr>
              <w:t xml:space="preserve"> </w:t>
            </w:r>
          </w:p>
          <w:p w:rsidR="00770979" w:rsidRPr="00252F7D" w:rsidRDefault="00732F37">
            <w:pPr>
              <w:spacing w:after="53"/>
              <w:ind w:left="1354"/>
              <w:rPr>
                <w:rFonts w:ascii="Times New Roman" w:hAnsi="Times New Roman" w:cs="Times New Roman"/>
              </w:rPr>
            </w:pPr>
            <w:r w:rsidRPr="00252F7D">
              <w:rPr>
                <w:rFonts w:ascii="Times New Roman" w:eastAsia="Times New Roman" w:hAnsi="Times New Roman" w:cs="Times New Roman"/>
                <w:b/>
                <w:sz w:val="23"/>
              </w:rPr>
              <w:t xml:space="preserve">FACULTY OF PHILOLOGY </w:t>
            </w:r>
            <w:r w:rsidR="00F9529A" w:rsidRPr="00252F7D">
              <w:rPr>
                <w:rFonts w:ascii="Times New Roman" w:eastAsia="Times New Roman" w:hAnsi="Times New Roman" w:cs="Times New Roman"/>
                <w:b/>
                <w:sz w:val="23"/>
              </w:rPr>
              <w:t xml:space="preserve"> </w:t>
            </w:r>
            <w:r w:rsidR="00F9529A" w:rsidRPr="00252F7D">
              <w:rPr>
                <w:rFonts w:ascii="Times New Roman" w:eastAsia="Times New Roman" w:hAnsi="Times New Roman" w:cs="Times New Roman"/>
                <w:b/>
                <w:sz w:val="15"/>
              </w:rPr>
              <w:t xml:space="preserve"> </w:t>
            </w:r>
          </w:p>
          <w:p w:rsidR="00770979" w:rsidRPr="00252F7D" w:rsidRDefault="00F9529A">
            <w:pPr>
              <w:rPr>
                <w:rFonts w:ascii="Times New Roman" w:hAnsi="Times New Roman" w:cs="Times New Roman"/>
              </w:rPr>
            </w:pPr>
            <w:r w:rsidRPr="00252F7D">
              <w:rPr>
                <w:rFonts w:ascii="Times New Roman" w:eastAsia="Times New Roman" w:hAnsi="Times New Roman" w:cs="Times New Roman"/>
                <w:sz w:val="25"/>
              </w:rPr>
              <w:t xml:space="preserve"> </w:t>
            </w:r>
          </w:p>
        </w:tc>
      </w:tr>
      <w:tr w:rsidR="00732F37" w:rsidRPr="00252F7D">
        <w:trPr>
          <w:trHeight w:val="1016"/>
        </w:trPr>
        <w:tc>
          <w:tcPr>
            <w:tcW w:w="0" w:type="auto"/>
            <w:vMerge/>
            <w:tcBorders>
              <w:top w:val="nil"/>
              <w:left w:val="single" w:sz="4" w:space="0" w:color="000000"/>
              <w:bottom w:val="single" w:sz="4" w:space="0" w:color="000000"/>
              <w:right w:val="single" w:sz="2" w:space="0" w:color="FFFFFF"/>
            </w:tcBorders>
          </w:tcPr>
          <w:p w:rsidR="00770979" w:rsidRPr="00252F7D" w:rsidRDefault="00770979">
            <w:pPr>
              <w:rPr>
                <w:rFonts w:ascii="Times New Roman" w:hAnsi="Times New Roman" w:cs="Times New Roman"/>
              </w:rPr>
            </w:pPr>
          </w:p>
        </w:tc>
        <w:tc>
          <w:tcPr>
            <w:tcW w:w="0" w:type="auto"/>
            <w:vMerge/>
            <w:tcBorders>
              <w:top w:val="nil"/>
              <w:left w:val="single" w:sz="2" w:space="0" w:color="FFFFFF"/>
              <w:bottom w:val="single" w:sz="4" w:space="0" w:color="000000"/>
              <w:right w:val="nil"/>
            </w:tcBorders>
          </w:tcPr>
          <w:p w:rsidR="00770979" w:rsidRPr="00252F7D" w:rsidRDefault="00770979">
            <w:pPr>
              <w:rPr>
                <w:rFonts w:ascii="Times New Roman" w:hAnsi="Times New Roman" w:cs="Times New Roman"/>
              </w:rPr>
            </w:pPr>
          </w:p>
        </w:tc>
        <w:tc>
          <w:tcPr>
            <w:tcW w:w="98" w:type="dxa"/>
            <w:tcBorders>
              <w:top w:val="single" w:sz="2" w:space="0" w:color="0000FF"/>
              <w:left w:val="nil"/>
              <w:bottom w:val="single" w:sz="4" w:space="0" w:color="000000"/>
              <w:right w:val="nil"/>
            </w:tcBorders>
          </w:tcPr>
          <w:p w:rsidR="00770979" w:rsidRPr="00252F7D" w:rsidRDefault="00770979">
            <w:pPr>
              <w:ind w:left="-494" w:right="-521"/>
              <w:rPr>
                <w:rFonts w:ascii="Times New Roman" w:hAnsi="Times New Roman" w:cs="Times New Roman"/>
              </w:rPr>
            </w:pPr>
          </w:p>
        </w:tc>
        <w:tc>
          <w:tcPr>
            <w:tcW w:w="98" w:type="dxa"/>
            <w:tcBorders>
              <w:top w:val="single" w:sz="2" w:space="0" w:color="0000FF"/>
              <w:left w:val="nil"/>
              <w:bottom w:val="single" w:sz="4" w:space="0" w:color="000000"/>
              <w:right w:val="nil"/>
            </w:tcBorders>
          </w:tcPr>
          <w:p w:rsidR="00770979" w:rsidRPr="00252F7D" w:rsidRDefault="00770979">
            <w:pPr>
              <w:rPr>
                <w:rFonts w:ascii="Times New Roman" w:hAnsi="Times New Roman" w:cs="Times New Roman"/>
              </w:rPr>
            </w:pPr>
          </w:p>
        </w:tc>
        <w:tc>
          <w:tcPr>
            <w:tcW w:w="0" w:type="auto"/>
            <w:vMerge/>
            <w:tcBorders>
              <w:top w:val="nil"/>
              <w:left w:val="nil"/>
              <w:bottom w:val="single" w:sz="4" w:space="0" w:color="000000"/>
              <w:right w:val="single" w:sz="2" w:space="0" w:color="FFFFFF"/>
            </w:tcBorders>
          </w:tcPr>
          <w:p w:rsidR="00770979" w:rsidRPr="00252F7D" w:rsidRDefault="00770979">
            <w:pPr>
              <w:rPr>
                <w:rFonts w:ascii="Times New Roman" w:hAnsi="Times New Roman" w:cs="Times New Roman"/>
              </w:rPr>
            </w:pPr>
          </w:p>
        </w:tc>
        <w:tc>
          <w:tcPr>
            <w:tcW w:w="0" w:type="auto"/>
            <w:gridSpan w:val="2"/>
            <w:vMerge/>
            <w:tcBorders>
              <w:top w:val="nil"/>
              <w:left w:val="single" w:sz="2" w:space="0" w:color="FFFFFF"/>
              <w:bottom w:val="single" w:sz="4" w:space="0" w:color="000000"/>
              <w:right w:val="single" w:sz="4" w:space="0" w:color="000000"/>
            </w:tcBorders>
          </w:tcPr>
          <w:p w:rsidR="00770979" w:rsidRPr="00252F7D" w:rsidRDefault="00770979">
            <w:pPr>
              <w:rPr>
                <w:rFonts w:ascii="Times New Roman" w:hAnsi="Times New Roman" w:cs="Times New Roman"/>
              </w:rPr>
            </w:pPr>
          </w:p>
        </w:tc>
      </w:tr>
      <w:tr w:rsidR="00732F37" w:rsidRPr="00252F7D">
        <w:trPr>
          <w:trHeight w:val="281"/>
        </w:trPr>
        <w:tc>
          <w:tcPr>
            <w:tcW w:w="1226" w:type="dxa"/>
            <w:gridSpan w:val="3"/>
            <w:tcBorders>
              <w:top w:val="single" w:sz="4" w:space="0" w:color="000000"/>
              <w:left w:val="single" w:sz="4" w:space="0" w:color="000000"/>
              <w:bottom w:val="single" w:sz="4" w:space="0" w:color="000000"/>
              <w:right w:val="nil"/>
            </w:tcBorders>
          </w:tcPr>
          <w:p w:rsidR="00770979" w:rsidRPr="00252F7D" w:rsidRDefault="00770979">
            <w:pPr>
              <w:rPr>
                <w:rFonts w:ascii="Times New Roman" w:hAnsi="Times New Roman" w:cs="Times New Roman"/>
              </w:rPr>
            </w:pPr>
          </w:p>
        </w:tc>
        <w:tc>
          <w:tcPr>
            <w:tcW w:w="8164" w:type="dxa"/>
            <w:gridSpan w:val="4"/>
            <w:tcBorders>
              <w:top w:val="single" w:sz="4" w:space="0" w:color="000000"/>
              <w:left w:val="nil"/>
              <w:bottom w:val="single" w:sz="4" w:space="0" w:color="000000"/>
              <w:right w:val="single" w:sz="4" w:space="0" w:color="000000"/>
            </w:tcBorders>
          </w:tcPr>
          <w:p w:rsidR="00770979" w:rsidRPr="00252F7D" w:rsidRDefault="00732F37">
            <w:pPr>
              <w:ind w:left="1922"/>
              <w:rPr>
                <w:rFonts w:ascii="Times New Roman" w:hAnsi="Times New Roman" w:cs="Times New Roman"/>
              </w:rPr>
            </w:pPr>
            <w:r w:rsidRPr="00252F7D">
              <w:rPr>
                <w:rFonts w:ascii="Times New Roman" w:eastAsia="Times New Roman" w:hAnsi="Times New Roman" w:cs="Times New Roman"/>
                <w:b/>
                <w:sz w:val="23"/>
              </w:rPr>
              <w:t>Doctoral academic studies</w:t>
            </w:r>
            <w:r w:rsidR="00F9529A" w:rsidRPr="00252F7D">
              <w:rPr>
                <w:rFonts w:ascii="Times New Roman" w:eastAsia="Times New Roman" w:hAnsi="Times New Roman" w:cs="Times New Roman"/>
                <w:b/>
                <w:sz w:val="23"/>
              </w:rPr>
              <w:t xml:space="preserve"> </w:t>
            </w:r>
          </w:p>
        </w:tc>
      </w:tr>
      <w:tr w:rsidR="00732F37" w:rsidRPr="00252F7D">
        <w:trPr>
          <w:trHeight w:val="276"/>
        </w:trPr>
        <w:tc>
          <w:tcPr>
            <w:tcW w:w="1226" w:type="dxa"/>
            <w:gridSpan w:val="3"/>
            <w:tcBorders>
              <w:top w:val="single" w:sz="4" w:space="0" w:color="000000"/>
              <w:left w:val="single" w:sz="4" w:space="0" w:color="000000"/>
              <w:bottom w:val="single" w:sz="4" w:space="0" w:color="000000"/>
              <w:right w:val="nil"/>
            </w:tcBorders>
          </w:tcPr>
          <w:p w:rsidR="00770979" w:rsidRPr="00252F7D" w:rsidRDefault="00732F37" w:rsidP="00732F37">
            <w:pPr>
              <w:ind w:left="106"/>
              <w:jc w:val="both"/>
              <w:rPr>
                <w:rFonts w:ascii="Times New Roman" w:hAnsi="Times New Roman" w:cs="Times New Roman"/>
              </w:rPr>
            </w:pPr>
            <w:r w:rsidRPr="00252F7D">
              <w:rPr>
                <w:rFonts w:ascii="Times New Roman" w:eastAsia="Times New Roman" w:hAnsi="Times New Roman" w:cs="Times New Roman"/>
                <w:b/>
                <w:sz w:val="23"/>
              </w:rPr>
              <w:t>Study program</w:t>
            </w:r>
          </w:p>
        </w:tc>
        <w:tc>
          <w:tcPr>
            <w:tcW w:w="1160" w:type="dxa"/>
            <w:gridSpan w:val="3"/>
            <w:tcBorders>
              <w:top w:val="single" w:sz="4" w:space="0" w:color="000000"/>
              <w:left w:val="nil"/>
              <w:bottom w:val="single" w:sz="4" w:space="0" w:color="000000"/>
              <w:right w:val="single" w:sz="4" w:space="0" w:color="000000"/>
            </w:tcBorders>
          </w:tcPr>
          <w:p w:rsidR="00770979" w:rsidRPr="00252F7D" w:rsidRDefault="00F9529A">
            <w:pPr>
              <w:ind w:left="-13"/>
              <w:jc w:val="both"/>
              <w:rPr>
                <w:rFonts w:ascii="Times New Roman" w:hAnsi="Times New Roman" w:cs="Times New Roman"/>
              </w:rPr>
            </w:pPr>
            <w:r w:rsidRPr="00252F7D">
              <w:rPr>
                <w:rFonts w:ascii="Times New Roman" w:eastAsia="Times New Roman" w:hAnsi="Times New Roman" w:cs="Times New Roman"/>
                <w:b/>
                <w:sz w:val="23"/>
              </w:rPr>
              <w:t xml:space="preserve"> </w:t>
            </w:r>
          </w:p>
        </w:tc>
        <w:tc>
          <w:tcPr>
            <w:tcW w:w="7003" w:type="dxa"/>
            <w:tcBorders>
              <w:top w:val="single" w:sz="4" w:space="0" w:color="000000"/>
              <w:left w:val="single" w:sz="4" w:space="0" w:color="000000"/>
              <w:bottom w:val="single" w:sz="4" w:space="0" w:color="000000"/>
              <w:right w:val="single" w:sz="4" w:space="0" w:color="000000"/>
            </w:tcBorders>
            <w:shd w:val="clear" w:color="auto" w:fill="B3B3B3"/>
          </w:tcPr>
          <w:p w:rsidR="00770979" w:rsidRPr="00252F7D" w:rsidRDefault="00732F37">
            <w:pPr>
              <w:ind w:left="100"/>
              <w:rPr>
                <w:rFonts w:ascii="Times New Roman" w:hAnsi="Times New Roman" w:cs="Times New Roman"/>
              </w:rPr>
            </w:pPr>
            <w:r w:rsidRPr="00252F7D">
              <w:rPr>
                <w:rFonts w:ascii="Times New Roman" w:eastAsia="Times New Roman" w:hAnsi="Times New Roman" w:cs="Times New Roman"/>
                <w:b/>
                <w:sz w:val="23"/>
              </w:rPr>
              <w:t>Science of literature</w:t>
            </w:r>
          </w:p>
        </w:tc>
      </w:tr>
    </w:tbl>
    <w:p w:rsidR="00770979" w:rsidRPr="00252F7D" w:rsidRDefault="00F9529A">
      <w:pPr>
        <w:spacing w:after="0"/>
        <w:ind w:left="-38"/>
        <w:jc w:val="both"/>
        <w:rPr>
          <w:rFonts w:ascii="Times New Roman" w:hAnsi="Times New Roman" w:cs="Times New Roman"/>
        </w:rPr>
      </w:pPr>
      <w:r w:rsidRPr="00252F7D">
        <w:rPr>
          <w:rFonts w:ascii="Times New Roman" w:eastAsia="Times New Roman" w:hAnsi="Times New Roman" w:cs="Times New Roman"/>
          <w:sz w:val="25"/>
        </w:rPr>
        <w:t xml:space="preserve"> </w:t>
      </w:r>
    </w:p>
    <w:tbl>
      <w:tblPr>
        <w:tblStyle w:val="TableGrid"/>
        <w:tblW w:w="9386" w:type="dxa"/>
        <w:tblInd w:w="-140" w:type="dxa"/>
        <w:tblCellMar>
          <w:top w:w="47" w:type="dxa"/>
          <w:left w:w="102" w:type="dxa"/>
          <w:right w:w="90" w:type="dxa"/>
        </w:tblCellMar>
        <w:tblLook w:val="04A0" w:firstRow="1" w:lastRow="0" w:firstColumn="1" w:lastColumn="0" w:noHBand="0" w:noVBand="1"/>
      </w:tblPr>
      <w:tblGrid>
        <w:gridCol w:w="1796"/>
        <w:gridCol w:w="1800"/>
        <w:gridCol w:w="1589"/>
        <w:gridCol w:w="1574"/>
        <w:gridCol w:w="2627"/>
      </w:tblGrid>
      <w:tr w:rsidR="00770979" w:rsidRPr="00252F7D">
        <w:trPr>
          <w:trHeight w:val="252"/>
        </w:trPr>
        <w:tc>
          <w:tcPr>
            <w:tcW w:w="1796" w:type="dxa"/>
            <w:tcBorders>
              <w:top w:val="single" w:sz="4" w:space="0" w:color="000000"/>
              <w:left w:val="single" w:sz="4" w:space="0" w:color="000000"/>
              <w:bottom w:val="single" w:sz="4" w:space="0" w:color="000000"/>
              <w:right w:val="single" w:sz="4" w:space="0" w:color="000000"/>
            </w:tcBorders>
          </w:tcPr>
          <w:p w:rsidR="00770979" w:rsidRPr="00252F7D" w:rsidRDefault="00732F37">
            <w:pPr>
              <w:jc w:val="both"/>
              <w:rPr>
                <w:rFonts w:ascii="Times New Roman" w:hAnsi="Times New Roman" w:cs="Times New Roman"/>
              </w:rPr>
            </w:pPr>
            <w:r w:rsidRPr="00252F7D">
              <w:rPr>
                <w:rFonts w:ascii="Times New Roman" w:eastAsia="Times New Roman" w:hAnsi="Times New Roman" w:cs="Times New Roman"/>
                <w:b/>
                <w:sz w:val="21"/>
              </w:rPr>
              <w:t>Subject</w:t>
            </w:r>
          </w:p>
        </w:tc>
        <w:tc>
          <w:tcPr>
            <w:tcW w:w="4963" w:type="dxa"/>
            <w:gridSpan w:val="3"/>
            <w:tcBorders>
              <w:top w:val="single" w:sz="4" w:space="0" w:color="000000"/>
              <w:left w:val="single" w:sz="4" w:space="0" w:color="000000"/>
              <w:bottom w:val="single" w:sz="4" w:space="0" w:color="000000"/>
              <w:right w:val="nil"/>
            </w:tcBorders>
            <w:shd w:val="clear" w:color="auto" w:fill="B3B3B3"/>
          </w:tcPr>
          <w:p w:rsidR="00770979" w:rsidRPr="00252F7D" w:rsidRDefault="00732F37">
            <w:pPr>
              <w:ind w:left="4"/>
              <w:rPr>
                <w:rFonts w:ascii="Times New Roman" w:hAnsi="Times New Roman" w:cs="Times New Roman"/>
              </w:rPr>
            </w:pPr>
            <w:r w:rsidRPr="00252F7D">
              <w:rPr>
                <w:rFonts w:ascii="Times New Roman" w:eastAsia="Times New Roman" w:hAnsi="Times New Roman" w:cs="Times New Roman"/>
                <w:b/>
                <w:sz w:val="21"/>
              </w:rPr>
              <w:t>GERMAN DRAMA IN THE 18</w:t>
            </w:r>
            <w:r w:rsidRPr="00252F7D">
              <w:rPr>
                <w:rFonts w:ascii="Times New Roman" w:eastAsia="Times New Roman" w:hAnsi="Times New Roman" w:cs="Times New Roman"/>
                <w:b/>
                <w:sz w:val="21"/>
                <w:vertAlign w:val="superscript"/>
              </w:rPr>
              <w:t>th</w:t>
            </w:r>
            <w:r w:rsidRPr="00252F7D">
              <w:rPr>
                <w:rFonts w:ascii="Times New Roman" w:eastAsia="Times New Roman" w:hAnsi="Times New Roman" w:cs="Times New Roman"/>
                <w:b/>
                <w:sz w:val="21"/>
              </w:rPr>
              <w:t xml:space="preserve">  CENTURY</w:t>
            </w:r>
          </w:p>
        </w:tc>
        <w:tc>
          <w:tcPr>
            <w:tcW w:w="2627" w:type="dxa"/>
            <w:tcBorders>
              <w:top w:val="single" w:sz="4" w:space="0" w:color="000000"/>
              <w:left w:val="nil"/>
              <w:bottom w:val="single" w:sz="4" w:space="0" w:color="000000"/>
              <w:right w:val="single" w:sz="4" w:space="0" w:color="000000"/>
            </w:tcBorders>
            <w:shd w:val="clear" w:color="auto" w:fill="B3B3B3"/>
          </w:tcPr>
          <w:p w:rsidR="00770979" w:rsidRPr="00252F7D" w:rsidRDefault="00770979">
            <w:pPr>
              <w:rPr>
                <w:rFonts w:ascii="Times New Roman" w:hAnsi="Times New Roman" w:cs="Times New Roman"/>
              </w:rPr>
            </w:pPr>
          </w:p>
        </w:tc>
      </w:tr>
      <w:tr w:rsidR="00770979" w:rsidRPr="00252F7D">
        <w:trPr>
          <w:trHeight w:val="500"/>
        </w:trPr>
        <w:tc>
          <w:tcPr>
            <w:tcW w:w="1796" w:type="dxa"/>
            <w:tcBorders>
              <w:top w:val="single" w:sz="4" w:space="0" w:color="000000"/>
              <w:left w:val="single" w:sz="4" w:space="0" w:color="000000"/>
              <w:bottom w:val="single" w:sz="4" w:space="0" w:color="000000"/>
              <w:right w:val="single" w:sz="4" w:space="0" w:color="000000"/>
            </w:tcBorders>
          </w:tcPr>
          <w:p w:rsidR="00770979" w:rsidRPr="00252F7D" w:rsidRDefault="00732F37">
            <w:pPr>
              <w:rPr>
                <w:rFonts w:ascii="Times New Roman" w:hAnsi="Times New Roman" w:cs="Times New Roman"/>
              </w:rPr>
            </w:pPr>
            <w:r w:rsidRPr="00252F7D">
              <w:rPr>
                <w:rFonts w:ascii="Times New Roman" w:eastAsia="Times New Roman" w:hAnsi="Times New Roman" w:cs="Times New Roman"/>
                <w:b/>
                <w:sz w:val="21"/>
              </w:rPr>
              <w:t>Subject code</w:t>
            </w:r>
          </w:p>
        </w:tc>
        <w:tc>
          <w:tcPr>
            <w:tcW w:w="1800" w:type="dxa"/>
            <w:tcBorders>
              <w:top w:val="single" w:sz="4" w:space="0" w:color="000000"/>
              <w:left w:val="single" w:sz="4" w:space="0" w:color="000000"/>
              <w:bottom w:val="single" w:sz="4" w:space="0" w:color="000000"/>
              <w:right w:val="single" w:sz="4" w:space="0" w:color="000000"/>
            </w:tcBorders>
          </w:tcPr>
          <w:p w:rsidR="00770979" w:rsidRPr="00252F7D" w:rsidRDefault="00732F37">
            <w:pPr>
              <w:ind w:left="8"/>
              <w:jc w:val="center"/>
              <w:rPr>
                <w:rFonts w:ascii="Times New Roman" w:hAnsi="Times New Roman" w:cs="Times New Roman"/>
              </w:rPr>
            </w:pPr>
            <w:r w:rsidRPr="00252F7D">
              <w:rPr>
                <w:rFonts w:ascii="Times New Roman" w:eastAsia="Times New Roman" w:hAnsi="Times New Roman" w:cs="Times New Roman"/>
                <w:b/>
                <w:sz w:val="21"/>
              </w:rPr>
              <w:t>Subject status</w:t>
            </w:r>
          </w:p>
        </w:tc>
        <w:tc>
          <w:tcPr>
            <w:tcW w:w="1589" w:type="dxa"/>
            <w:tcBorders>
              <w:top w:val="single" w:sz="4" w:space="0" w:color="000000"/>
              <w:left w:val="single" w:sz="4" w:space="0" w:color="000000"/>
              <w:bottom w:val="single" w:sz="4" w:space="0" w:color="000000"/>
              <w:right w:val="single" w:sz="4" w:space="0" w:color="000000"/>
            </w:tcBorders>
            <w:vAlign w:val="center"/>
          </w:tcPr>
          <w:p w:rsidR="00770979" w:rsidRPr="00252F7D" w:rsidRDefault="00732F37">
            <w:pPr>
              <w:ind w:right="18"/>
              <w:jc w:val="center"/>
              <w:rPr>
                <w:rFonts w:ascii="Times New Roman" w:hAnsi="Times New Roman" w:cs="Times New Roman"/>
              </w:rPr>
            </w:pPr>
            <w:r w:rsidRPr="00252F7D">
              <w:rPr>
                <w:rFonts w:ascii="Times New Roman" w:eastAsia="Times New Roman" w:hAnsi="Times New Roman" w:cs="Times New Roman"/>
                <w:b/>
                <w:sz w:val="21"/>
              </w:rPr>
              <w:t>Semester</w:t>
            </w:r>
          </w:p>
        </w:tc>
        <w:tc>
          <w:tcPr>
            <w:tcW w:w="1574" w:type="dxa"/>
            <w:tcBorders>
              <w:top w:val="single" w:sz="4" w:space="0" w:color="000000"/>
              <w:left w:val="single" w:sz="4" w:space="0" w:color="000000"/>
              <w:bottom w:val="single" w:sz="4" w:space="0" w:color="000000"/>
              <w:right w:val="single" w:sz="4" w:space="0" w:color="000000"/>
            </w:tcBorders>
            <w:vAlign w:val="center"/>
          </w:tcPr>
          <w:p w:rsidR="00770979" w:rsidRPr="00252F7D" w:rsidRDefault="00732F37">
            <w:pPr>
              <w:ind w:left="66"/>
              <w:rPr>
                <w:rFonts w:ascii="Times New Roman" w:hAnsi="Times New Roman" w:cs="Times New Roman"/>
              </w:rPr>
            </w:pPr>
            <w:r w:rsidRPr="00252F7D">
              <w:rPr>
                <w:rFonts w:ascii="Times New Roman" w:eastAsia="Times New Roman" w:hAnsi="Times New Roman" w:cs="Times New Roman"/>
                <w:b/>
                <w:sz w:val="21"/>
              </w:rPr>
              <w:t>Classes fund</w:t>
            </w:r>
          </w:p>
        </w:tc>
        <w:tc>
          <w:tcPr>
            <w:tcW w:w="2627" w:type="dxa"/>
            <w:tcBorders>
              <w:top w:val="single" w:sz="4" w:space="0" w:color="000000"/>
              <w:left w:val="single" w:sz="4" w:space="0" w:color="000000"/>
              <w:bottom w:val="single" w:sz="4" w:space="0" w:color="000000"/>
              <w:right w:val="single" w:sz="4" w:space="0" w:color="000000"/>
            </w:tcBorders>
            <w:vAlign w:val="center"/>
          </w:tcPr>
          <w:p w:rsidR="00770979" w:rsidRPr="00252F7D" w:rsidRDefault="00732F37">
            <w:pPr>
              <w:ind w:right="21"/>
              <w:jc w:val="center"/>
              <w:rPr>
                <w:rFonts w:ascii="Times New Roman" w:hAnsi="Times New Roman" w:cs="Times New Roman"/>
              </w:rPr>
            </w:pPr>
            <w:r w:rsidRPr="00252F7D">
              <w:rPr>
                <w:rFonts w:ascii="Times New Roman" w:eastAsia="Times New Roman" w:hAnsi="Times New Roman" w:cs="Times New Roman"/>
                <w:b/>
                <w:sz w:val="21"/>
              </w:rPr>
              <w:t xml:space="preserve">Number of </w:t>
            </w:r>
            <w:proofErr w:type="spellStart"/>
            <w:r w:rsidRPr="00252F7D">
              <w:rPr>
                <w:rFonts w:ascii="Times New Roman" w:eastAsia="Times New Roman" w:hAnsi="Times New Roman" w:cs="Times New Roman"/>
                <w:b/>
                <w:sz w:val="21"/>
              </w:rPr>
              <w:t>ECTS</w:t>
            </w:r>
            <w:proofErr w:type="spellEnd"/>
            <w:r w:rsidRPr="00252F7D">
              <w:rPr>
                <w:rFonts w:ascii="Times New Roman" w:eastAsia="Times New Roman" w:hAnsi="Times New Roman" w:cs="Times New Roman"/>
                <w:b/>
                <w:sz w:val="21"/>
              </w:rPr>
              <w:t xml:space="preserve"> points</w:t>
            </w:r>
          </w:p>
        </w:tc>
      </w:tr>
      <w:tr w:rsidR="00770979" w:rsidRPr="00252F7D">
        <w:trPr>
          <w:trHeight w:val="260"/>
        </w:trPr>
        <w:tc>
          <w:tcPr>
            <w:tcW w:w="1796" w:type="dxa"/>
            <w:tcBorders>
              <w:top w:val="single" w:sz="4" w:space="0" w:color="000000"/>
              <w:left w:val="single" w:sz="4" w:space="0" w:color="000000"/>
              <w:bottom w:val="single" w:sz="4" w:space="0" w:color="000000"/>
              <w:right w:val="single" w:sz="4" w:space="0" w:color="000000"/>
            </w:tcBorders>
          </w:tcPr>
          <w:p w:rsidR="00770979" w:rsidRPr="00252F7D" w:rsidRDefault="00F9529A">
            <w:pPr>
              <w:rPr>
                <w:rFonts w:ascii="Times New Roman" w:hAnsi="Times New Roman" w:cs="Times New Roman"/>
              </w:rPr>
            </w:pPr>
            <w:r w:rsidRPr="00252F7D">
              <w:rPr>
                <w:rFonts w:ascii="Times New Roman" w:eastAsia="Times New Roman" w:hAnsi="Times New Roman" w:cs="Times New Roman"/>
                <w:sz w:val="21"/>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770979" w:rsidRPr="00252F7D" w:rsidRDefault="00732F37">
            <w:pPr>
              <w:ind w:right="17"/>
              <w:jc w:val="center"/>
              <w:rPr>
                <w:rFonts w:ascii="Times New Roman" w:hAnsi="Times New Roman" w:cs="Times New Roman"/>
              </w:rPr>
            </w:pPr>
            <w:r w:rsidRPr="00252F7D">
              <w:rPr>
                <w:rFonts w:ascii="Times New Roman" w:eastAsia="Times New Roman" w:hAnsi="Times New Roman" w:cs="Times New Roman"/>
                <w:sz w:val="21"/>
              </w:rPr>
              <w:t>elective</w:t>
            </w:r>
            <w:r w:rsidR="00F9529A" w:rsidRPr="00252F7D">
              <w:rPr>
                <w:rFonts w:ascii="Times New Roman" w:eastAsia="Times New Roman" w:hAnsi="Times New Roman" w:cs="Times New Roman"/>
                <w:sz w:val="21"/>
              </w:rPr>
              <w:t xml:space="preserve"> </w:t>
            </w:r>
          </w:p>
        </w:tc>
        <w:tc>
          <w:tcPr>
            <w:tcW w:w="1589" w:type="dxa"/>
            <w:tcBorders>
              <w:top w:val="single" w:sz="4" w:space="0" w:color="000000"/>
              <w:left w:val="single" w:sz="4" w:space="0" w:color="000000"/>
              <w:bottom w:val="single" w:sz="4" w:space="0" w:color="000000"/>
              <w:right w:val="single" w:sz="4" w:space="0" w:color="000000"/>
            </w:tcBorders>
          </w:tcPr>
          <w:p w:rsidR="00770979" w:rsidRPr="00252F7D" w:rsidRDefault="00732F37">
            <w:pPr>
              <w:ind w:right="16"/>
              <w:jc w:val="center"/>
              <w:rPr>
                <w:rFonts w:ascii="Times New Roman" w:hAnsi="Times New Roman" w:cs="Times New Roman"/>
              </w:rPr>
            </w:pPr>
            <w:r w:rsidRPr="00252F7D">
              <w:rPr>
                <w:rFonts w:ascii="Times New Roman" w:eastAsia="Times New Roman" w:hAnsi="Times New Roman" w:cs="Times New Roman"/>
                <w:sz w:val="21"/>
              </w:rPr>
              <w:t>3. or</w:t>
            </w:r>
            <w:r w:rsidR="00F9529A" w:rsidRPr="00252F7D">
              <w:rPr>
                <w:rFonts w:ascii="Times New Roman" w:eastAsia="Times New Roman" w:hAnsi="Times New Roman" w:cs="Times New Roman"/>
                <w:sz w:val="21"/>
              </w:rPr>
              <w:t xml:space="preserve"> 4.  </w:t>
            </w:r>
          </w:p>
        </w:tc>
        <w:tc>
          <w:tcPr>
            <w:tcW w:w="1574" w:type="dxa"/>
            <w:tcBorders>
              <w:top w:val="single" w:sz="4" w:space="0" w:color="000000"/>
              <w:left w:val="single" w:sz="4" w:space="0" w:color="000000"/>
              <w:bottom w:val="single" w:sz="4" w:space="0" w:color="000000"/>
              <w:right w:val="single" w:sz="4" w:space="0" w:color="000000"/>
            </w:tcBorders>
          </w:tcPr>
          <w:p w:rsidR="00770979" w:rsidRPr="00252F7D" w:rsidRDefault="00F9529A">
            <w:pPr>
              <w:ind w:right="15"/>
              <w:jc w:val="center"/>
              <w:rPr>
                <w:rFonts w:ascii="Times New Roman" w:hAnsi="Times New Roman" w:cs="Times New Roman"/>
              </w:rPr>
            </w:pPr>
            <w:r w:rsidRPr="00252F7D">
              <w:rPr>
                <w:rFonts w:ascii="Times New Roman" w:eastAsia="Times New Roman" w:hAnsi="Times New Roman" w:cs="Times New Roman"/>
                <w:sz w:val="21"/>
              </w:rPr>
              <w:t xml:space="preserve">30 </w:t>
            </w:r>
          </w:p>
        </w:tc>
        <w:tc>
          <w:tcPr>
            <w:tcW w:w="2627" w:type="dxa"/>
            <w:tcBorders>
              <w:top w:val="single" w:sz="4" w:space="0" w:color="000000"/>
              <w:left w:val="single" w:sz="4" w:space="0" w:color="000000"/>
              <w:bottom w:val="single" w:sz="4" w:space="0" w:color="000000"/>
              <w:right w:val="single" w:sz="4" w:space="0" w:color="000000"/>
            </w:tcBorders>
          </w:tcPr>
          <w:p w:rsidR="00770979" w:rsidRPr="00252F7D" w:rsidRDefault="00F9529A">
            <w:pPr>
              <w:ind w:right="21"/>
              <w:jc w:val="center"/>
              <w:rPr>
                <w:rFonts w:ascii="Times New Roman" w:hAnsi="Times New Roman" w:cs="Times New Roman"/>
              </w:rPr>
            </w:pPr>
            <w:r w:rsidRPr="00252F7D">
              <w:rPr>
                <w:rFonts w:ascii="Times New Roman" w:eastAsia="Times New Roman" w:hAnsi="Times New Roman" w:cs="Times New Roman"/>
                <w:sz w:val="21"/>
              </w:rPr>
              <w:t xml:space="preserve">10 </w:t>
            </w:r>
          </w:p>
        </w:tc>
      </w:tr>
      <w:tr w:rsidR="00770979" w:rsidRPr="00252F7D">
        <w:trPr>
          <w:trHeight w:val="252"/>
        </w:trPr>
        <w:tc>
          <w:tcPr>
            <w:tcW w:w="1796" w:type="dxa"/>
            <w:tcBorders>
              <w:top w:val="single" w:sz="4" w:space="0" w:color="000000"/>
              <w:left w:val="single" w:sz="4" w:space="0" w:color="000000"/>
              <w:bottom w:val="single" w:sz="4" w:space="0" w:color="000000"/>
              <w:right w:val="single" w:sz="4" w:space="0" w:color="000000"/>
            </w:tcBorders>
            <w:shd w:val="clear" w:color="auto" w:fill="B3B3B3"/>
          </w:tcPr>
          <w:p w:rsidR="00770979" w:rsidRPr="00252F7D" w:rsidRDefault="00732F37">
            <w:pPr>
              <w:rPr>
                <w:rFonts w:ascii="Times New Roman" w:hAnsi="Times New Roman" w:cs="Times New Roman"/>
              </w:rPr>
            </w:pPr>
            <w:r w:rsidRPr="00252F7D">
              <w:rPr>
                <w:rFonts w:ascii="Times New Roman" w:eastAsia="Times New Roman" w:hAnsi="Times New Roman" w:cs="Times New Roman"/>
                <w:b/>
                <w:sz w:val="21"/>
              </w:rPr>
              <w:t>Professors</w:t>
            </w:r>
          </w:p>
        </w:tc>
        <w:tc>
          <w:tcPr>
            <w:tcW w:w="4963" w:type="dxa"/>
            <w:gridSpan w:val="3"/>
            <w:tcBorders>
              <w:top w:val="single" w:sz="4" w:space="0" w:color="000000"/>
              <w:left w:val="single" w:sz="4" w:space="0" w:color="000000"/>
              <w:bottom w:val="single" w:sz="4" w:space="0" w:color="000000"/>
              <w:right w:val="nil"/>
            </w:tcBorders>
          </w:tcPr>
          <w:p w:rsidR="00770979" w:rsidRPr="00252F7D" w:rsidRDefault="00732F37">
            <w:pPr>
              <w:ind w:left="4"/>
              <w:rPr>
                <w:rFonts w:ascii="Times New Roman" w:hAnsi="Times New Roman" w:cs="Times New Roman"/>
              </w:rPr>
            </w:pPr>
            <w:r w:rsidRPr="00252F7D">
              <w:rPr>
                <w:rFonts w:ascii="Times New Roman" w:eastAsia="Times New Roman" w:hAnsi="Times New Roman" w:cs="Times New Roman"/>
                <w:sz w:val="21"/>
              </w:rPr>
              <w:t xml:space="preserve">Dr. </w:t>
            </w:r>
            <w:proofErr w:type="spellStart"/>
            <w:r w:rsidRPr="00252F7D">
              <w:rPr>
                <w:rFonts w:ascii="Times New Roman" w:eastAsia="Times New Roman" w:hAnsi="Times New Roman" w:cs="Times New Roman"/>
                <w:sz w:val="21"/>
              </w:rPr>
              <w:t>Ljiljana</w:t>
            </w:r>
            <w:proofErr w:type="spellEnd"/>
            <w:r w:rsidRPr="00252F7D">
              <w:rPr>
                <w:rFonts w:ascii="Times New Roman" w:eastAsia="Times New Roman" w:hAnsi="Times New Roman" w:cs="Times New Roman"/>
                <w:sz w:val="21"/>
              </w:rPr>
              <w:t xml:space="preserve"> </w:t>
            </w:r>
            <w:proofErr w:type="spellStart"/>
            <w:r w:rsidRPr="00252F7D">
              <w:rPr>
                <w:rFonts w:ascii="Times New Roman" w:eastAsia="Times New Roman" w:hAnsi="Times New Roman" w:cs="Times New Roman"/>
                <w:sz w:val="21"/>
              </w:rPr>
              <w:t>Aćimović</w:t>
            </w:r>
            <w:proofErr w:type="spellEnd"/>
            <w:r w:rsidRPr="00252F7D">
              <w:rPr>
                <w:rFonts w:ascii="Times New Roman" w:eastAsia="Times New Roman" w:hAnsi="Times New Roman" w:cs="Times New Roman"/>
                <w:sz w:val="21"/>
              </w:rPr>
              <w:t>, assistant professor</w:t>
            </w:r>
          </w:p>
        </w:tc>
        <w:tc>
          <w:tcPr>
            <w:tcW w:w="2627" w:type="dxa"/>
            <w:tcBorders>
              <w:top w:val="single" w:sz="4" w:space="0" w:color="000000"/>
              <w:left w:val="nil"/>
              <w:bottom w:val="single" w:sz="4" w:space="0" w:color="000000"/>
              <w:right w:val="single" w:sz="4" w:space="0" w:color="000000"/>
            </w:tcBorders>
          </w:tcPr>
          <w:p w:rsidR="00770979" w:rsidRPr="00252F7D" w:rsidRDefault="00770979">
            <w:pPr>
              <w:rPr>
                <w:rFonts w:ascii="Times New Roman" w:hAnsi="Times New Roman" w:cs="Times New Roman"/>
              </w:rPr>
            </w:pPr>
          </w:p>
        </w:tc>
      </w:tr>
    </w:tbl>
    <w:p w:rsidR="00770979" w:rsidRPr="00252F7D" w:rsidRDefault="00F9529A">
      <w:pPr>
        <w:spacing w:after="0"/>
        <w:ind w:left="-38"/>
        <w:jc w:val="both"/>
        <w:rPr>
          <w:rFonts w:ascii="Times New Roman" w:hAnsi="Times New Roman" w:cs="Times New Roman"/>
        </w:rPr>
      </w:pPr>
      <w:r w:rsidRPr="00252F7D">
        <w:rPr>
          <w:rFonts w:ascii="Times New Roman" w:eastAsia="Times New Roman" w:hAnsi="Times New Roman" w:cs="Times New Roman"/>
          <w:sz w:val="21"/>
        </w:rPr>
        <w:t xml:space="preserve"> </w:t>
      </w:r>
    </w:p>
    <w:tbl>
      <w:tblPr>
        <w:tblStyle w:val="TableGrid"/>
        <w:tblW w:w="9386" w:type="dxa"/>
        <w:tblInd w:w="-140" w:type="dxa"/>
        <w:tblCellMar>
          <w:top w:w="42" w:type="dxa"/>
          <w:left w:w="101" w:type="dxa"/>
          <w:right w:w="227" w:type="dxa"/>
        </w:tblCellMar>
        <w:tblLook w:val="04A0" w:firstRow="1" w:lastRow="0" w:firstColumn="1" w:lastColumn="0" w:noHBand="0" w:noVBand="1"/>
      </w:tblPr>
      <w:tblGrid>
        <w:gridCol w:w="2511"/>
        <w:gridCol w:w="1094"/>
        <w:gridCol w:w="1930"/>
        <w:gridCol w:w="1051"/>
        <w:gridCol w:w="1925"/>
        <w:gridCol w:w="875"/>
      </w:tblGrid>
      <w:tr w:rsidR="00770979" w:rsidRPr="00252F7D">
        <w:trPr>
          <w:trHeight w:val="252"/>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770979" w:rsidRPr="00252F7D" w:rsidRDefault="00732F37">
            <w:pPr>
              <w:rPr>
                <w:rFonts w:ascii="Times New Roman" w:hAnsi="Times New Roman" w:cs="Times New Roman"/>
              </w:rPr>
            </w:pPr>
            <w:r w:rsidRPr="00252F7D">
              <w:rPr>
                <w:rFonts w:ascii="Times New Roman" w:eastAsia="Times New Roman" w:hAnsi="Times New Roman" w:cs="Times New Roman"/>
                <w:b/>
                <w:sz w:val="21"/>
              </w:rPr>
              <w:t>Conditioned by other subjects</w:t>
            </w:r>
          </w:p>
        </w:tc>
      </w:tr>
      <w:tr w:rsidR="00770979" w:rsidRPr="00252F7D">
        <w:trPr>
          <w:trHeight w:val="257"/>
        </w:trPr>
        <w:tc>
          <w:tcPr>
            <w:tcW w:w="9386" w:type="dxa"/>
            <w:gridSpan w:val="6"/>
            <w:tcBorders>
              <w:top w:val="single" w:sz="4" w:space="0" w:color="000000"/>
              <w:left w:val="single" w:sz="4" w:space="0" w:color="000000"/>
              <w:bottom w:val="single" w:sz="4" w:space="0" w:color="000000"/>
              <w:right w:val="single" w:sz="4" w:space="0" w:color="000000"/>
            </w:tcBorders>
          </w:tcPr>
          <w:p w:rsidR="00770979" w:rsidRPr="00252F7D" w:rsidRDefault="00732F37">
            <w:pPr>
              <w:rPr>
                <w:rFonts w:ascii="Times New Roman" w:hAnsi="Times New Roman" w:cs="Times New Roman"/>
              </w:rPr>
            </w:pPr>
            <w:r w:rsidRPr="00252F7D">
              <w:rPr>
                <w:rFonts w:ascii="Times New Roman" w:eastAsia="Times New Roman" w:hAnsi="Times New Roman" w:cs="Times New Roman"/>
                <w:sz w:val="21"/>
              </w:rPr>
              <w:t>no</w:t>
            </w:r>
            <w:r w:rsidR="00F9529A" w:rsidRPr="00252F7D">
              <w:rPr>
                <w:rFonts w:ascii="Times New Roman" w:eastAsia="Times New Roman" w:hAnsi="Times New Roman" w:cs="Times New Roman"/>
                <w:sz w:val="21"/>
              </w:rPr>
              <w:t xml:space="preserve">  </w:t>
            </w:r>
          </w:p>
        </w:tc>
      </w:tr>
      <w:tr w:rsidR="00732F37" w:rsidRPr="00252F7D">
        <w:trPr>
          <w:trHeight w:val="25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732F37" w:rsidRPr="00252F7D" w:rsidRDefault="00732F37" w:rsidP="00732F37">
            <w:pPr>
              <w:rPr>
                <w:rFonts w:ascii="Times New Roman" w:hAnsi="Times New Roman" w:cs="Times New Roman"/>
                <w:b/>
              </w:rPr>
            </w:pPr>
            <w:r w:rsidRPr="00252F7D">
              <w:rPr>
                <w:rFonts w:ascii="Times New Roman" w:hAnsi="Times New Roman" w:cs="Times New Roman"/>
                <w:b/>
              </w:rPr>
              <w:t>Objectives of studying the subject:</w:t>
            </w:r>
          </w:p>
        </w:tc>
      </w:tr>
      <w:tr w:rsidR="00732F37" w:rsidRPr="00252F7D">
        <w:trPr>
          <w:trHeight w:val="746"/>
        </w:trPr>
        <w:tc>
          <w:tcPr>
            <w:tcW w:w="9386" w:type="dxa"/>
            <w:gridSpan w:val="6"/>
            <w:tcBorders>
              <w:top w:val="single" w:sz="4" w:space="0" w:color="000000"/>
              <w:left w:val="single" w:sz="4" w:space="0" w:color="000000"/>
              <w:bottom w:val="single" w:sz="4" w:space="0" w:color="000000"/>
              <w:right w:val="single" w:sz="4" w:space="0" w:color="000000"/>
            </w:tcBorders>
          </w:tcPr>
          <w:p w:rsidR="00732F37" w:rsidRPr="00252F7D" w:rsidRDefault="00732F37" w:rsidP="00B22D8E">
            <w:pPr>
              <w:jc w:val="both"/>
              <w:rPr>
                <w:rFonts w:ascii="Times New Roman" w:hAnsi="Times New Roman" w:cs="Times New Roman"/>
              </w:rPr>
            </w:pPr>
            <w:r w:rsidRPr="00252F7D">
              <w:rPr>
                <w:rFonts w:ascii="Times New Roman" w:hAnsi="Times New Roman" w:cs="Times New Roman"/>
              </w:rPr>
              <w:t>Acquaintance of doctoral students with the changes that German drama experienced in the 18th century. German drama of the 18th century in the context of European drama of the 18th century. Sensitization for different methodological approaches in the study and interpretation of works.</w:t>
            </w:r>
          </w:p>
        </w:tc>
      </w:tr>
      <w:tr w:rsidR="00732F37" w:rsidRPr="00252F7D">
        <w:trPr>
          <w:trHeight w:val="25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732F37" w:rsidRPr="00252F7D" w:rsidRDefault="00732F37" w:rsidP="00732F37">
            <w:pPr>
              <w:rPr>
                <w:rFonts w:ascii="Times New Roman" w:hAnsi="Times New Roman" w:cs="Times New Roman"/>
                <w:b/>
              </w:rPr>
            </w:pPr>
            <w:r w:rsidRPr="00252F7D">
              <w:rPr>
                <w:rFonts w:ascii="Times New Roman" w:hAnsi="Times New Roman" w:cs="Times New Roman"/>
                <w:b/>
              </w:rPr>
              <w:t>Learning outcomes (acquired knowledge):</w:t>
            </w:r>
          </w:p>
        </w:tc>
      </w:tr>
      <w:tr w:rsidR="00732F37" w:rsidRPr="00252F7D">
        <w:trPr>
          <w:trHeight w:val="1246"/>
        </w:trPr>
        <w:tc>
          <w:tcPr>
            <w:tcW w:w="9386" w:type="dxa"/>
            <w:gridSpan w:val="6"/>
            <w:tcBorders>
              <w:top w:val="single" w:sz="4" w:space="0" w:color="000000"/>
              <w:left w:val="single" w:sz="4" w:space="0" w:color="000000"/>
              <w:bottom w:val="single" w:sz="4" w:space="0" w:color="000000"/>
              <w:right w:val="single" w:sz="4" w:space="0" w:color="000000"/>
            </w:tcBorders>
          </w:tcPr>
          <w:p w:rsidR="00732F37" w:rsidRPr="00252F7D" w:rsidRDefault="00732F37" w:rsidP="00B22D8E">
            <w:pPr>
              <w:jc w:val="both"/>
              <w:rPr>
                <w:rFonts w:ascii="Times New Roman" w:hAnsi="Times New Roman" w:cs="Times New Roman"/>
              </w:rPr>
            </w:pPr>
            <w:r w:rsidRPr="00252F7D">
              <w:rPr>
                <w:rFonts w:ascii="Times New Roman" w:hAnsi="Times New Roman" w:cs="Times New Roman"/>
              </w:rPr>
              <w:t>The doctoral students have general knowledge about the development of German drama. Expanding and deepening knowledge about German drama of the 18</w:t>
            </w:r>
            <w:r w:rsidRPr="00252F7D">
              <w:rPr>
                <w:rFonts w:ascii="Times New Roman" w:hAnsi="Times New Roman" w:cs="Times New Roman"/>
                <w:vertAlign w:val="superscript"/>
              </w:rPr>
              <w:t>th</w:t>
            </w:r>
            <w:r w:rsidR="00B22D8E">
              <w:rPr>
                <w:rFonts w:ascii="Times New Roman" w:hAnsi="Times New Roman" w:cs="Times New Roman"/>
              </w:rPr>
              <w:t xml:space="preserve"> </w:t>
            </w:r>
            <w:bookmarkStart w:id="0" w:name="_GoBack"/>
            <w:bookmarkEnd w:id="0"/>
            <w:r w:rsidRPr="00252F7D">
              <w:rPr>
                <w:rFonts w:ascii="Times New Roman" w:hAnsi="Times New Roman" w:cs="Times New Roman"/>
              </w:rPr>
              <w:t>century in the context of European drama of the 18</w:t>
            </w:r>
            <w:r w:rsidRPr="00252F7D">
              <w:rPr>
                <w:rFonts w:ascii="Times New Roman" w:hAnsi="Times New Roman" w:cs="Times New Roman"/>
                <w:vertAlign w:val="superscript"/>
              </w:rPr>
              <w:t>th</w:t>
            </w:r>
            <w:r w:rsidRPr="00252F7D">
              <w:rPr>
                <w:rFonts w:ascii="Times New Roman" w:hAnsi="Times New Roman" w:cs="Times New Roman"/>
              </w:rPr>
              <w:t xml:space="preserve">  century from a literary history and genre perspective. Doctoral students </w:t>
            </w:r>
            <w:proofErr w:type="gramStart"/>
            <w:r w:rsidRPr="00252F7D">
              <w:rPr>
                <w:rFonts w:ascii="Times New Roman" w:hAnsi="Times New Roman" w:cs="Times New Roman"/>
              </w:rPr>
              <w:t>are trained</w:t>
            </w:r>
            <w:proofErr w:type="gramEnd"/>
            <w:r w:rsidRPr="00252F7D">
              <w:rPr>
                <w:rFonts w:ascii="Times New Roman" w:hAnsi="Times New Roman" w:cs="Times New Roman"/>
              </w:rPr>
              <w:t xml:space="preserve"> to independently perform a literary-historical and genre interpretation analysis of 18th-century German drama by applying the appropriate methodology.</w:t>
            </w:r>
          </w:p>
        </w:tc>
      </w:tr>
      <w:tr w:rsidR="00732F37" w:rsidRPr="00252F7D">
        <w:trPr>
          <w:trHeight w:val="24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732F37" w:rsidRPr="00252F7D" w:rsidRDefault="00732F37" w:rsidP="00732F37">
            <w:pPr>
              <w:rPr>
                <w:rFonts w:ascii="Times New Roman" w:hAnsi="Times New Roman" w:cs="Times New Roman"/>
                <w:b/>
              </w:rPr>
            </w:pPr>
            <w:r w:rsidRPr="00252F7D">
              <w:rPr>
                <w:rFonts w:ascii="Times New Roman" w:hAnsi="Times New Roman" w:cs="Times New Roman"/>
                <w:b/>
              </w:rPr>
              <w:t>Course content:</w:t>
            </w:r>
          </w:p>
        </w:tc>
      </w:tr>
      <w:tr w:rsidR="00770979" w:rsidRPr="00252F7D">
        <w:trPr>
          <w:trHeight w:val="2234"/>
        </w:trPr>
        <w:tc>
          <w:tcPr>
            <w:tcW w:w="9386" w:type="dxa"/>
            <w:gridSpan w:val="6"/>
            <w:tcBorders>
              <w:top w:val="single" w:sz="4" w:space="0" w:color="000000"/>
              <w:left w:val="single" w:sz="4" w:space="0" w:color="000000"/>
              <w:bottom w:val="single" w:sz="4" w:space="0" w:color="000000"/>
              <w:right w:val="single" w:sz="4" w:space="0" w:color="000000"/>
            </w:tcBorders>
          </w:tcPr>
          <w:p w:rsidR="00770979" w:rsidRPr="00252F7D" w:rsidRDefault="002F5520">
            <w:pPr>
              <w:rPr>
                <w:rFonts w:ascii="Times New Roman" w:hAnsi="Times New Roman" w:cs="Times New Roman"/>
              </w:rPr>
            </w:pPr>
            <w:r w:rsidRPr="00252F7D">
              <w:rPr>
                <w:rFonts w:ascii="Times New Roman" w:eastAsia="Times New Roman" w:hAnsi="Times New Roman" w:cs="Times New Roman"/>
                <w:sz w:val="21"/>
              </w:rPr>
              <w:t xml:space="preserve">German drama at the beginning of the 18th century: the comedies of Christian Weise. </w:t>
            </w:r>
            <w:proofErr w:type="spellStart"/>
            <w:r w:rsidRPr="00252F7D">
              <w:rPr>
                <w:rFonts w:ascii="Times New Roman" w:eastAsia="Times New Roman" w:hAnsi="Times New Roman" w:cs="Times New Roman"/>
                <w:sz w:val="21"/>
              </w:rPr>
              <w:t>Gottsched's</w:t>
            </w:r>
            <w:proofErr w:type="spellEnd"/>
            <w:r w:rsidRPr="00252F7D">
              <w:rPr>
                <w:rFonts w:ascii="Times New Roman" w:eastAsia="Times New Roman" w:hAnsi="Times New Roman" w:cs="Times New Roman"/>
                <w:sz w:val="21"/>
              </w:rPr>
              <w:t xml:space="preserve"> reforms based on French classicist tragedies. </w:t>
            </w:r>
            <w:proofErr w:type="spellStart"/>
            <w:r w:rsidRPr="00252F7D">
              <w:rPr>
                <w:rFonts w:ascii="Times New Roman" w:eastAsia="Times New Roman" w:hAnsi="Times New Roman" w:cs="Times New Roman"/>
                <w:sz w:val="21"/>
              </w:rPr>
              <w:t>Gellert</w:t>
            </w:r>
            <w:proofErr w:type="spellEnd"/>
            <w:r w:rsidRPr="00252F7D">
              <w:rPr>
                <w:rFonts w:ascii="Times New Roman" w:eastAsia="Times New Roman" w:hAnsi="Times New Roman" w:cs="Times New Roman"/>
                <w:sz w:val="21"/>
              </w:rPr>
              <w:t xml:space="preserve"> and German bourgeois comedy. Changes in the concept of drama: Johann Elias Schlegel and </w:t>
            </w:r>
            <w:proofErr w:type="spellStart"/>
            <w:r w:rsidRPr="00252F7D">
              <w:rPr>
                <w:rFonts w:ascii="Times New Roman" w:eastAsia="Times New Roman" w:hAnsi="Times New Roman" w:cs="Times New Roman"/>
                <w:sz w:val="21"/>
              </w:rPr>
              <w:t>Gotthold</w:t>
            </w:r>
            <w:proofErr w:type="spellEnd"/>
            <w:r w:rsidRPr="00252F7D">
              <w:rPr>
                <w:rFonts w:ascii="Times New Roman" w:eastAsia="Times New Roman" w:hAnsi="Times New Roman" w:cs="Times New Roman"/>
                <w:sz w:val="21"/>
              </w:rPr>
              <w:t xml:space="preserve"> Ephraim Lessing. German civil tragedy. With Lessing and Wieland (Chr. M. Wieland), Shakespeare enters German literature. He </w:t>
            </w:r>
            <w:proofErr w:type="gramStart"/>
            <w:r w:rsidRPr="00252F7D">
              <w:rPr>
                <w:rFonts w:ascii="Times New Roman" w:eastAsia="Times New Roman" w:hAnsi="Times New Roman" w:cs="Times New Roman"/>
                <w:sz w:val="21"/>
              </w:rPr>
              <w:t>will be especially emulated</w:t>
            </w:r>
            <w:proofErr w:type="gramEnd"/>
            <w:r w:rsidRPr="00252F7D">
              <w:rPr>
                <w:rFonts w:ascii="Times New Roman" w:eastAsia="Times New Roman" w:hAnsi="Times New Roman" w:cs="Times New Roman"/>
                <w:sz w:val="21"/>
              </w:rPr>
              <w:t xml:space="preserve"> by representatives of Sturm und </w:t>
            </w:r>
            <w:proofErr w:type="spellStart"/>
            <w:r w:rsidRPr="00252F7D">
              <w:rPr>
                <w:rFonts w:ascii="Times New Roman" w:eastAsia="Times New Roman" w:hAnsi="Times New Roman" w:cs="Times New Roman"/>
                <w:sz w:val="21"/>
              </w:rPr>
              <w:t>Drang</w:t>
            </w:r>
            <w:proofErr w:type="spellEnd"/>
            <w:r w:rsidRPr="00252F7D">
              <w:rPr>
                <w:rFonts w:ascii="Times New Roman" w:eastAsia="Times New Roman" w:hAnsi="Times New Roman" w:cs="Times New Roman"/>
                <w:sz w:val="21"/>
              </w:rPr>
              <w:t xml:space="preserve">, changes in drama caused by new role models: Lenz, Klinger, young Goethe (Johann Wolfgang von Goethe) and Schiller (Friedrich Schiller). Classical German drama: Goethe and Schiller. Popular playwrights: August von Kotzebue. The beginning of romantic drama: Ludwig Tieck. </w:t>
            </w:r>
            <w:proofErr w:type="spellStart"/>
            <w:r w:rsidRPr="00252F7D">
              <w:rPr>
                <w:rFonts w:ascii="Times New Roman" w:eastAsia="Times New Roman" w:hAnsi="Times New Roman" w:cs="Times New Roman"/>
                <w:sz w:val="21"/>
              </w:rPr>
              <w:t>Hölderlin</w:t>
            </w:r>
            <w:proofErr w:type="spellEnd"/>
            <w:r w:rsidRPr="00252F7D">
              <w:rPr>
                <w:rFonts w:ascii="Times New Roman" w:eastAsia="Times New Roman" w:hAnsi="Times New Roman" w:cs="Times New Roman"/>
                <w:sz w:val="21"/>
              </w:rPr>
              <w:t>.</w:t>
            </w:r>
          </w:p>
        </w:tc>
      </w:tr>
      <w:tr w:rsidR="002F5520" w:rsidRPr="00252F7D">
        <w:trPr>
          <w:trHeight w:val="252"/>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2F5520" w:rsidRPr="00252F7D" w:rsidRDefault="002F5520" w:rsidP="002F5520">
            <w:pPr>
              <w:rPr>
                <w:rFonts w:ascii="Times New Roman" w:hAnsi="Times New Roman" w:cs="Times New Roman"/>
                <w:b/>
              </w:rPr>
            </w:pPr>
            <w:r w:rsidRPr="00252F7D">
              <w:rPr>
                <w:rFonts w:ascii="Times New Roman" w:hAnsi="Times New Roman" w:cs="Times New Roman"/>
                <w:b/>
              </w:rPr>
              <w:t>Methods of teaching and mastering the material:</w:t>
            </w:r>
          </w:p>
        </w:tc>
      </w:tr>
      <w:tr w:rsidR="002F5520" w:rsidRPr="00252F7D">
        <w:trPr>
          <w:trHeight w:val="257"/>
        </w:trPr>
        <w:tc>
          <w:tcPr>
            <w:tcW w:w="9386" w:type="dxa"/>
            <w:gridSpan w:val="6"/>
            <w:tcBorders>
              <w:top w:val="single" w:sz="4" w:space="0" w:color="000000"/>
              <w:left w:val="single" w:sz="4" w:space="0" w:color="000000"/>
              <w:bottom w:val="single" w:sz="4" w:space="0" w:color="000000"/>
              <w:right w:val="single" w:sz="4" w:space="0" w:color="000000"/>
            </w:tcBorders>
          </w:tcPr>
          <w:p w:rsidR="002F5520" w:rsidRPr="00252F7D" w:rsidRDefault="002F5520" w:rsidP="002F5520">
            <w:pPr>
              <w:rPr>
                <w:rFonts w:ascii="Times New Roman" w:hAnsi="Times New Roman" w:cs="Times New Roman"/>
              </w:rPr>
            </w:pPr>
            <w:r w:rsidRPr="00252F7D">
              <w:rPr>
                <w:rFonts w:ascii="Times New Roman" w:hAnsi="Times New Roman" w:cs="Times New Roman"/>
              </w:rPr>
              <w:t>Lectures, seminar paper, consultations, independent student work.</w:t>
            </w:r>
          </w:p>
        </w:tc>
      </w:tr>
      <w:tr w:rsidR="002F5520" w:rsidRPr="00252F7D">
        <w:trPr>
          <w:trHeight w:val="252"/>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2F5520" w:rsidRPr="00252F7D" w:rsidRDefault="002F5520" w:rsidP="002F5520">
            <w:pPr>
              <w:rPr>
                <w:rFonts w:ascii="Times New Roman" w:hAnsi="Times New Roman" w:cs="Times New Roman"/>
                <w:b/>
              </w:rPr>
            </w:pPr>
            <w:r w:rsidRPr="00252F7D">
              <w:rPr>
                <w:rFonts w:ascii="Times New Roman" w:hAnsi="Times New Roman" w:cs="Times New Roman"/>
                <w:b/>
              </w:rPr>
              <w:t>Literature:</w:t>
            </w:r>
          </w:p>
        </w:tc>
      </w:tr>
      <w:tr w:rsidR="00770979" w:rsidRPr="00252F7D">
        <w:trPr>
          <w:trHeight w:val="2723"/>
        </w:trPr>
        <w:tc>
          <w:tcPr>
            <w:tcW w:w="9386" w:type="dxa"/>
            <w:gridSpan w:val="6"/>
            <w:tcBorders>
              <w:top w:val="single" w:sz="4" w:space="0" w:color="000000"/>
              <w:left w:val="single" w:sz="4" w:space="0" w:color="000000"/>
              <w:bottom w:val="single" w:sz="4" w:space="0" w:color="000000"/>
              <w:right w:val="single" w:sz="4" w:space="0" w:color="000000"/>
            </w:tcBorders>
          </w:tcPr>
          <w:p w:rsidR="00770979" w:rsidRPr="00252F7D" w:rsidRDefault="00F9529A">
            <w:pPr>
              <w:numPr>
                <w:ilvl w:val="0"/>
                <w:numId w:val="1"/>
              </w:numPr>
              <w:spacing w:after="2" w:line="241" w:lineRule="auto"/>
              <w:ind w:left="700" w:hanging="350"/>
              <w:rPr>
                <w:rFonts w:ascii="Times New Roman" w:hAnsi="Times New Roman" w:cs="Times New Roman"/>
              </w:rPr>
            </w:pPr>
            <w:proofErr w:type="spellStart"/>
            <w:r w:rsidRPr="00252F7D">
              <w:rPr>
                <w:rFonts w:ascii="Times New Roman" w:eastAsia="Times New Roman" w:hAnsi="Times New Roman" w:cs="Times New Roman"/>
                <w:sz w:val="21"/>
              </w:rPr>
              <w:t>Heide</w:t>
            </w:r>
            <w:proofErr w:type="spellEnd"/>
            <w:r w:rsidRPr="00252F7D">
              <w:rPr>
                <w:rFonts w:ascii="Times New Roman" w:eastAsia="Times New Roman" w:hAnsi="Times New Roman" w:cs="Times New Roman"/>
                <w:sz w:val="21"/>
              </w:rPr>
              <w:t xml:space="preserve"> </w:t>
            </w:r>
            <w:proofErr w:type="spellStart"/>
            <w:r w:rsidRPr="00252F7D">
              <w:rPr>
                <w:rFonts w:ascii="Times New Roman" w:eastAsia="Times New Roman" w:hAnsi="Times New Roman" w:cs="Times New Roman"/>
                <w:sz w:val="21"/>
              </w:rPr>
              <w:t>Hollmer</w:t>
            </w:r>
            <w:proofErr w:type="spellEnd"/>
            <w:r w:rsidRPr="00252F7D">
              <w:rPr>
                <w:rFonts w:ascii="Times New Roman" w:eastAsia="Times New Roman" w:hAnsi="Times New Roman" w:cs="Times New Roman"/>
                <w:sz w:val="21"/>
              </w:rPr>
              <w:t>, Albert Meier (</w:t>
            </w:r>
            <w:proofErr w:type="spellStart"/>
            <w:r w:rsidRPr="00252F7D">
              <w:rPr>
                <w:rFonts w:ascii="Times New Roman" w:eastAsia="Times New Roman" w:hAnsi="Times New Roman" w:cs="Times New Roman"/>
                <w:sz w:val="21"/>
              </w:rPr>
              <w:t>Hrsg</w:t>
            </w:r>
            <w:proofErr w:type="spellEnd"/>
            <w:r w:rsidRPr="00252F7D">
              <w:rPr>
                <w:rFonts w:ascii="Times New Roman" w:eastAsia="Times New Roman" w:hAnsi="Times New Roman" w:cs="Times New Roman"/>
                <w:sz w:val="21"/>
              </w:rPr>
              <w:t xml:space="preserve">.): </w:t>
            </w:r>
            <w:r w:rsidRPr="00252F7D">
              <w:rPr>
                <w:rFonts w:ascii="Times New Roman" w:eastAsia="Times New Roman" w:hAnsi="Times New Roman" w:cs="Times New Roman"/>
                <w:i/>
                <w:sz w:val="21"/>
              </w:rPr>
              <w:t xml:space="preserve">Das </w:t>
            </w:r>
            <w:proofErr w:type="spellStart"/>
            <w:r w:rsidRPr="00252F7D">
              <w:rPr>
                <w:rFonts w:ascii="Times New Roman" w:eastAsia="Times New Roman" w:hAnsi="Times New Roman" w:cs="Times New Roman"/>
                <w:i/>
                <w:sz w:val="21"/>
              </w:rPr>
              <w:t>Dramenlexikon</w:t>
            </w:r>
            <w:proofErr w:type="spellEnd"/>
            <w:r w:rsidRPr="00252F7D">
              <w:rPr>
                <w:rFonts w:ascii="Times New Roman" w:eastAsia="Times New Roman" w:hAnsi="Times New Roman" w:cs="Times New Roman"/>
                <w:i/>
                <w:sz w:val="21"/>
              </w:rPr>
              <w:t xml:space="preserve"> des 18. </w:t>
            </w:r>
            <w:proofErr w:type="spellStart"/>
            <w:r w:rsidRPr="00252F7D">
              <w:rPr>
                <w:rFonts w:ascii="Times New Roman" w:eastAsia="Times New Roman" w:hAnsi="Times New Roman" w:cs="Times New Roman"/>
                <w:i/>
                <w:sz w:val="21"/>
              </w:rPr>
              <w:t>Jahrhunderts</w:t>
            </w:r>
            <w:proofErr w:type="spellEnd"/>
            <w:r w:rsidRPr="00252F7D">
              <w:rPr>
                <w:rFonts w:ascii="Times New Roman" w:eastAsia="Times New Roman" w:hAnsi="Times New Roman" w:cs="Times New Roman"/>
                <w:sz w:val="21"/>
              </w:rPr>
              <w:t xml:space="preserve">, C. H. Beck, 2001.  </w:t>
            </w:r>
          </w:p>
          <w:p w:rsidR="00770979" w:rsidRPr="00252F7D" w:rsidRDefault="00F9529A">
            <w:pPr>
              <w:numPr>
                <w:ilvl w:val="0"/>
                <w:numId w:val="1"/>
              </w:numPr>
              <w:spacing w:after="7" w:line="236" w:lineRule="auto"/>
              <w:ind w:left="700" w:hanging="350"/>
              <w:rPr>
                <w:rFonts w:ascii="Times New Roman" w:hAnsi="Times New Roman" w:cs="Times New Roman"/>
              </w:rPr>
            </w:pPr>
            <w:proofErr w:type="spellStart"/>
            <w:r w:rsidRPr="00252F7D">
              <w:rPr>
                <w:rFonts w:ascii="Times New Roman" w:eastAsia="Times New Roman" w:hAnsi="Times New Roman" w:cs="Times New Roman"/>
                <w:sz w:val="21"/>
              </w:rPr>
              <w:t>Gisbert</w:t>
            </w:r>
            <w:proofErr w:type="spellEnd"/>
            <w:r w:rsidRPr="00252F7D">
              <w:rPr>
                <w:rFonts w:ascii="Times New Roman" w:eastAsia="Times New Roman" w:hAnsi="Times New Roman" w:cs="Times New Roman"/>
                <w:sz w:val="21"/>
              </w:rPr>
              <w:t xml:space="preserve"> </w:t>
            </w:r>
            <w:proofErr w:type="spellStart"/>
            <w:r w:rsidRPr="00252F7D">
              <w:rPr>
                <w:rFonts w:ascii="Times New Roman" w:eastAsia="Times New Roman" w:hAnsi="Times New Roman" w:cs="Times New Roman"/>
                <w:sz w:val="21"/>
              </w:rPr>
              <w:t>Ter-Nadden</w:t>
            </w:r>
            <w:proofErr w:type="spellEnd"/>
            <w:r w:rsidRPr="00252F7D">
              <w:rPr>
                <w:rFonts w:ascii="Times New Roman" w:eastAsia="Times New Roman" w:hAnsi="Times New Roman" w:cs="Times New Roman"/>
                <w:sz w:val="21"/>
              </w:rPr>
              <w:t xml:space="preserve">: </w:t>
            </w:r>
            <w:proofErr w:type="spellStart"/>
            <w:r w:rsidRPr="00252F7D">
              <w:rPr>
                <w:rFonts w:ascii="Times New Roman" w:eastAsia="Times New Roman" w:hAnsi="Times New Roman" w:cs="Times New Roman"/>
                <w:i/>
                <w:sz w:val="21"/>
              </w:rPr>
              <w:t>Lessings</w:t>
            </w:r>
            <w:proofErr w:type="spellEnd"/>
            <w:r w:rsidRPr="00252F7D">
              <w:rPr>
                <w:rFonts w:ascii="Times New Roman" w:eastAsia="Times New Roman" w:hAnsi="Times New Roman" w:cs="Times New Roman"/>
                <w:i/>
                <w:sz w:val="21"/>
              </w:rPr>
              <w:t xml:space="preserve"> </w:t>
            </w:r>
            <w:proofErr w:type="spellStart"/>
            <w:r w:rsidRPr="00252F7D">
              <w:rPr>
                <w:rFonts w:ascii="Times New Roman" w:eastAsia="Times New Roman" w:hAnsi="Times New Roman" w:cs="Times New Roman"/>
                <w:i/>
                <w:sz w:val="21"/>
              </w:rPr>
              <w:t>Trauerspiele</w:t>
            </w:r>
            <w:proofErr w:type="spellEnd"/>
            <w:r w:rsidRPr="00252F7D">
              <w:rPr>
                <w:rFonts w:ascii="Times New Roman" w:eastAsia="Times New Roman" w:hAnsi="Times New Roman" w:cs="Times New Roman"/>
                <w:i/>
                <w:sz w:val="21"/>
              </w:rPr>
              <w:t xml:space="preserve">. Der </w:t>
            </w:r>
            <w:proofErr w:type="spellStart"/>
            <w:r w:rsidRPr="00252F7D">
              <w:rPr>
                <w:rFonts w:ascii="Times New Roman" w:eastAsia="Times New Roman" w:hAnsi="Times New Roman" w:cs="Times New Roman"/>
                <w:i/>
                <w:sz w:val="21"/>
              </w:rPr>
              <w:t>Ursprung</w:t>
            </w:r>
            <w:proofErr w:type="spellEnd"/>
            <w:r w:rsidRPr="00252F7D">
              <w:rPr>
                <w:rFonts w:ascii="Times New Roman" w:eastAsia="Times New Roman" w:hAnsi="Times New Roman" w:cs="Times New Roman"/>
                <w:i/>
                <w:sz w:val="21"/>
              </w:rPr>
              <w:t xml:space="preserve"> des </w:t>
            </w:r>
            <w:proofErr w:type="spellStart"/>
            <w:r w:rsidRPr="00252F7D">
              <w:rPr>
                <w:rFonts w:ascii="Times New Roman" w:eastAsia="Times New Roman" w:hAnsi="Times New Roman" w:cs="Times New Roman"/>
                <w:i/>
                <w:sz w:val="21"/>
              </w:rPr>
              <w:t>modernen</w:t>
            </w:r>
            <w:proofErr w:type="spellEnd"/>
            <w:r w:rsidRPr="00252F7D">
              <w:rPr>
                <w:rFonts w:ascii="Times New Roman" w:eastAsia="Times New Roman" w:hAnsi="Times New Roman" w:cs="Times New Roman"/>
                <w:i/>
                <w:sz w:val="21"/>
              </w:rPr>
              <w:t xml:space="preserve"> Dramas </w:t>
            </w:r>
            <w:proofErr w:type="spellStart"/>
            <w:r w:rsidRPr="00252F7D">
              <w:rPr>
                <w:rFonts w:ascii="Times New Roman" w:eastAsia="Times New Roman" w:hAnsi="Times New Roman" w:cs="Times New Roman"/>
                <w:i/>
                <w:sz w:val="21"/>
              </w:rPr>
              <w:t>aus</w:t>
            </w:r>
            <w:proofErr w:type="spellEnd"/>
            <w:r w:rsidRPr="00252F7D">
              <w:rPr>
                <w:rFonts w:ascii="Times New Roman" w:eastAsia="Times New Roman" w:hAnsi="Times New Roman" w:cs="Times New Roman"/>
                <w:i/>
                <w:sz w:val="21"/>
              </w:rPr>
              <w:t xml:space="preserve"> </w:t>
            </w:r>
            <w:proofErr w:type="spellStart"/>
            <w:r w:rsidRPr="00252F7D">
              <w:rPr>
                <w:rFonts w:ascii="Times New Roman" w:eastAsia="Times New Roman" w:hAnsi="Times New Roman" w:cs="Times New Roman"/>
                <w:i/>
                <w:sz w:val="21"/>
              </w:rPr>
              <w:t>dem</w:t>
            </w:r>
            <w:proofErr w:type="spellEnd"/>
            <w:r w:rsidRPr="00252F7D">
              <w:rPr>
                <w:rFonts w:ascii="Times New Roman" w:eastAsia="Times New Roman" w:hAnsi="Times New Roman" w:cs="Times New Roman"/>
                <w:i/>
                <w:sz w:val="21"/>
              </w:rPr>
              <w:t xml:space="preserve"> Geist der </w:t>
            </w:r>
            <w:proofErr w:type="spellStart"/>
            <w:r w:rsidRPr="00252F7D">
              <w:rPr>
                <w:rFonts w:ascii="Times New Roman" w:eastAsia="Times New Roman" w:hAnsi="Times New Roman" w:cs="Times New Roman"/>
                <w:i/>
                <w:sz w:val="21"/>
              </w:rPr>
              <w:t>Kritik</w:t>
            </w:r>
            <w:proofErr w:type="spellEnd"/>
            <w:r w:rsidRPr="00252F7D">
              <w:rPr>
                <w:rFonts w:ascii="Times New Roman" w:eastAsia="Times New Roman" w:hAnsi="Times New Roman" w:cs="Times New Roman"/>
                <w:sz w:val="21"/>
              </w:rPr>
              <w:t xml:space="preserve">, Stuttgart: J. B. Metzler </w:t>
            </w:r>
            <w:proofErr w:type="spellStart"/>
            <w:r w:rsidRPr="00252F7D">
              <w:rPr>
                <w:rFonts w:ascii="Times New Roman" w:eastAsia="Times New Roman" w:hAnsi="Times New Roman" w:cs="Times New Roman"/>
                <w:sz w:val="21"/>
              </w:rPr>
              <w:t>Verlagsbuchhandlung</w:t>
            </w:r>
            <w:proofErr w:type="spellEnd"/>
            <w:r w:rsidRPr="00252F7D">
              <w:rPr>
                <w:rFonts w:ascii="Times New Roman" w:eastAsia="Times New Roman" w:hAnsi="Times New Roman" w:cs="Times New Roman"/>
                <w:sz w:val="21"/>
              </w:rPr>
              <w:t xml:space="preserve">, 1986.  </w:t>
            </w:r>
          </w:p>
          <w:p w:rsidR="00770979" w:rsidRPr="00252F7D" w:rsidRDefault="00F9529A">
            <w:pPr>
              <w:numPr>
                <w:ilvl w:val="0"/>
                <w:numId w:val="1"/>
              </w:numPr>
              <w:ind w:left="700" w:hanging="350"/>
              <w:rPr>
                <w:rFonts w:ascii="Times New Roman" w:hAnsi="Times New Roman" w:cs="Times New Roman"/>
              </w:rPr>
            </w:pPr>
            <w:r w:rsidRPr="00252F7D">
              <w:rPr>
                <w:rFonts w:ascii="Times New Roman" w:eastAsia="Times New Roman" w:hAnsi="Times New Roman" w:cs="Times New Roman"/>
                <w:sz w:val="21"/>
              </w:rPr>
              <w:t xml:space="preserve">Christian </w:t>
            </w:r>
            <w:proofErr w:type="spellStart"/>
            <w:r w:rsidRPr="00252F7D">
              <w:rPr>
                <w:rFonts w:ascii="Times New Roman" w:eastAsia="Times New Roman" w:hAnsi="Times New Roman" w:cs="Times New Roman"/>
                <w:sz w:val="21"/>
              </w:rPr>
              <w:t>Rochow</w:t>
            </w:r>
            <w:proofErr w:type="spellEnd"/>
            <w:r w:rsidRPr="00252F7D">
              <w:rPr>
                <w:rFonts w:ascii="Times New Roman" w:eastAsia="Times New Roman" w:hAnsi="Times New Roman" w:cs="Times New Roman"/>
                <w:sz w:val="21"/>
              </w:rPr>
              <w:t xml:space="preserve">: </w:t>
            </w:r>
            <w:r w:rsidRPr="00252F7D">
              <w:rPr>
                <w:rFonts w:ascii="Times New Roman" w:eastAsia="Times New Roman" w:hAnsi="Times New Roman" w:cs="Times New Roman"/>
                <w:i/>
                <w:sz w:val="21"/>
              </w:rPr>
              <w:t xml:space="preserve">Das </w:t>
            </w:r>
            <w:proofErr w:type="spellStart"/>
            <w:r w:rsidRPr="00252F7D">
              <w:rPr>
                <w:rFonts w:ascii="Times New Roman" w:eastAsia="Times New Roman" w:hAnsi="Times New Roman" w:cs="Times New Roman"/>
                <w:i/>
                <w:sz w:val="21"/>
              </w:rPr>
              <w:t>bürgerliche</w:t>
            </w:r>
            <w:proofErr w:type="spellEnd"/>
            <w:r w:rsidRPr="00252F7D">
              <w:rPr>
                <w:rFonts w:ascii="Times New Roman" w:eastAsia="Times New Roman" w:hAnsi="Times New Roman" w:cs="Times New Roman"/>
                <w:i/>
                <w:sz w:val="21"/>
              </w:rPr>
              <w:t xml:space="preserve"> </w:t>
            </w:r>
            <w:proofErr w:type="spellStart"/>
            <w:r w:rsidRPr="00252F7D">
              <w:rPr>
                <w:rFonts w:ascii="Times New Roman" w:eastAsia="Times New Roman" w:hAnsi="Times New Roman" w:cs="Times New Roman"/>
                <w:i/>
                <w:sz w:val="21"/>
              </w:rPr>
              <w:t>Trauerspiel</w:t>
            </w:r>
            <w:proofErr w:type="spellEnd"/>
            <w:r w:rsidRPr="00252F7D">
              <w:rPr>
                <w:rFonts w:ascii="Times New Roman" w:eastAsia="Times New Roman" w:hAnsi="Times New Roman" w:cs="Times New Roman"/>
                <w:sz w:val="21"/>
              </w:rPr>
              <w:t xml:space="preserve">, Stuttgart: </w:t>
            </w:r>
            <w:proofErr w:type="spellStart"/>
            <w:r w:rsidRPr="00252F7D">
              <w:rPr>
                <w:rFonts w:ascii="Times New Roman" w:eastAsia="Times New Roman" w:hAnsi="Times New Roman" w:cs="Times New Roman"/>
                <w:sz w:val="21"/>
              </w:rPr>
              <w:t>Reclam</w:t>
            </w:r>
            <w:proofErr w:type="spellEnd"/>
            <w:r w:rsidRPr="00252F7D">
              <w:rPr>
                <w:rFonts w:ascii="Times New Roman" w:eastAsia="Times New Roman" w:hAnsi="Times New Roman" w:cs="Times New Roman"/>
                <w:sz w:val="21"/>
              </w:rPr>
              <w:t xml:space="preserve">, 1999.  </w:t>
            </w:r>
          </w:p>
          <w:p w:rsidR="00770979" w:rsidRPr="00252F7D" w:rsidRDefault="00F9529A">
            <w:pPr>
              <w:numPr>
                <w:ilvl w:val="0"/>
                <w:numId w:val="1"/>
              </w:numPr>
              <w:spacing w:after="7" w:line="236" w:lineRule="auto"/>
              <w:ind w:left="700" w:hanging="350"/>
              <w:rPr>
                <w:rFonts w:ascii="Times New Roman" w:hAnsi="Times New Roman" w:cs="Times New Roman"/>
              </w:rPr>
            </w:pPr>
            <w:r w:rsidRPr="00252F7D">
              <w:rPr>
                <w:rFonts w:ascii="Times New Roman" w:eastAsia="Times New Roman" w:hAnsi="Times New Roman" w:cs="Times New Roman"/>
                <w:sz w:val="21"/>
              </w:rPr>
              <w:t xml:space="preserve">Karl S. </w:t>
            </w:r>
            <w:proofErr w:type="spellStart"/>
            <w:r w:rsidRPr="00252F7D">
              <w:rPr>
                <w:rFonts w:ascii="Times New Roman" w:eastAsia="Times New Roman" w:hAnsi="Times New Roman" w:cs="Times New Roman"/>
                <w:sz w:val="21"/>
              </w:rPr>
              <w:t>Guthke</w:t>
            </w:r>
            <w:proofErr w:type="spellEnd"/>
            <w:r w:rsidRPr="00252F7D">
              <w:rPr>
                <w:rFonts w:ascii="Times New Roman" w:eastAsia="Times New Roman" w:hAnsi="Times New Roman" w:cs="Times New Roman"/>
                <w:sz w:val="21"/>
              </w:rPr>
              <w:t xml:space="preserve">: </w:t>
            </w:r>
            <w:r w:rsidRPr="00252F7D">
              <w:rPr>
                <w:rFonts w:ascii="Times New Roman" w:eastAsia="Times New Roman" w:hAnsi="Times New Roman" w:cs="Times New Roman"/>
                <w:i/>
                <w:sz w:val="21"/>
              </w:rPr>
              <w:t xml:space="preserve">Das deutsche </w:t>
            </w:r>
            <w:proofErr w:type="spellStart"/>
            <w:r w:rsidRPr="00252F7D">
              <w:rPr>
                <w:rFonts w:ascii="Times New Roman" w:eastAsia="Times New Roman" w:hAnsi="Times New Roman" w:cs="Times New Roman"/>
                <w:i/>
                <w:sz w:val="21"/>
              </w:rPr>
              <w:t>bürgerliche</w:t>
            </w:r>
            <w:proofErr w:type="spellEnd"/>
            <w:r w:rsidRPr="00252F7D">
              <w:rPr>
                <w:rFonts w:ascii="Times New Roman" w:eastAsia="Times New Roman" w:hAnsi="Times New Roman" w:cs="Times New Roman"/>
                <w:i/>
                <w:sz w:val="21"/>
              </w:rPr>
              <w:t xml:space="preserve"> </w:t>
            </w:r>
            <w:proofErr w:type="spellStart"/>
            <w:r w:rsidRPr="00252F7D">
              <w:rPr>
                <w:rFonts w:ascii="Times New Roman" w:eastAsia="Times New Roman" w:hAnsi="Times New Roman" w:cs="Times New Roman"/>
                <w:i/>
                <w:sz w:val="21"/>
              </w:rPr>
              <w:t>Trauerspiel</w:t>
            </w:r>
            <w:proofErr w:type="spellEnd"/>
            <w:r w:rsidRPr="00252F7D">
              <w:rPr>
                <w:rFonts w:ascii="Times New Roman" w:eastAsia="Times New Roman" w:hAnsi="Times New Roman" w:cs="Times New Roman"/>
                <w:sz w:val="21"/>
              </w:rPr>
              <w:t xml:space="preserve">, Stuttgart: J. B. Metzler </w:t>
            </w:r>
            <w:proofErr w:type="spellStart"/>
            <w:r w:rsidRPr="00252F7D">
              <w:rPr>
                <w:rFonts w:ascii="Times New Roman" w:eastAsia="Times New Roman" w:hAnsi="Times New Roman" w:cs="Times New Roman"/>
                <w:sz w:val="21"/>
              </w:rPr>
              <w:t>Verlagsbuchhandlung</w:t>
            </w:r>
            <w:proofErr w:type="spellEnd"/>
            <w:r w:rsidRPr="00252F7D">
              <w:rPr>
                <w:rFonts w:ascii="Times New Roman" w:eastAsia="Times New Roman" w:hAnsi="Times New Roman" w:cs="Times New Roman"/>
                <w:sz w:val="21"/>
              </w:rPr>
              <w:t xml:space="preserve">, 2006.  </w:t>
            </w:r>
          </w:p>
          <w:p w:rsidR="00770979" w:rsidRPr="00252F7D" w:rsidRDefault="00F9529A">
            <w:pPr>
              <w:numPr>
                <w:ilvl w:val="0"/>
                <w:numId w:val="1"/>
              </w:numPr>
              <w:ind w:left="700" w:hanging="350"/>
              <w:rPr>
                <w:rFonts w:ascii="Times New Roman" w:hAnsi="Times New Roman" w:cs="Times New Roman"/>
              </w:rPr>
            </w:pPr>
            <w:r w:rsidRPr="00252F7D">
              <w:rPr>
                <w:rFonts w:ascii="Times New Roman" w:eastAsia="Times New Roman" w:hAnsi="Times New Roman" w:cs="Times New Roman"/>
                <w:sz w:val="21"/>
              </w:rPr>
              <w:t xml:space="preserve">Cornelia </w:t>
            </w:r>
            <w:proofErr w:type="spellStart"/>
            <w:r w:rsidRPr="00252F7D">
              <w:rPr>
                <w:rFonts w:ascii="Times New Roman" w:eastAsia="Times New Roman" w:hAnsi="Times New Roman" w:cs="Times New Roman"/>
                <w:sz w:val="21"/>
              </w:rPr>
              <w:t>Mönch</w:t>
            </w:r>
            <w:proofErr w:type="spellEnd"/>
            <w:r w:rsidRPr="00252F7D">
              <w:rPr>
                <w:rFonts w:ascii="Times New Roman" w:eastAsia="Times New Roman" w:hAnsi="Times New Roman" w:cs="Times New Roman"/>
                <w:sz w:val="21"/>
              </w:rPr>
              <w:t xml:space="preserve">: </w:t>
            </w:r>
            <w:proofErr w:type="spellStart"/>
            <w:r w:rsidRPr="00252F7D">
              <w:rPr>
                <w:rFonts w:ascii="Times New Roman" w:eastAsia="Times New Roman" w:hAnsi="Times New Roman" w:cs="Times New Roman"/>
                <w:i/>
                <w:sz w:val="21"/>
              </w:rPr>
              <w:t>Abschrecken</w:t>
            </w:r>
            <w:proofErr w:type="spellEnd"/>
            <w:r w:rsidRPr="00252F7D">
              <w:rPr>
                <w:rFonts w:ascii="Times New Roman" w:eastAsia="Times New Roman" w:hAnsi="Times New Roman" w:cs="Times New Roman"/>
                <w:i/>
                <w:sz w:val="21"/>
              </w:rPr>
              <w:t xml:space="preserve"> </w:t>
            </w:r>
            <w:proofErr w:type="spellStart"/>
            <w:proofErr w:type="gramStart"/>
            <w:r w:rsidRPr="00252F7D">
              <w:rPr>
                <w:rFonts w:ascii="Times New Roman" w:eastAsia="Times New Roman" w:hAnsi="Times New Roman" w:cs="Times New Roman"/>
                <w:i/>
                <w:sz w:val="21"/>
              </w:rPr>
              <w:t>oder</w:t>
            </w:r>
            <w:proofErr w:type="spellEnd"/>
            <w:proofErr w:type="gramEnd"/>
            <w:r w:rsidRPr="00252F7D">
              <w:rPr>
                <w:rFonts w:ascii="Times New Roman" w:eastAsia="Times New Roman" w:hAnsi="Times New Roman" w:cs="Times New Roman"/>
                <w:i/>
                <w:sz w:val="21"/>
              </w:rPr>
              <w:t xml:space="preserve"> </w:t>
            </w:r>
            <w:proofErr w:type="spellStart"/>
            <w:r w:rsidRPr="00252F7D">
              <w:rPr>
                <w:rFonts w:ascii="Times New Roman" w:eastAsia="Times New Roman" w:hAnsi="Times New Roman" w:cs="Times New Roman"/>
                <w:i/>
                <w:sz w:val="21"/>
              </w:rPr>
              <w:t>Mitleiden</w:t>
            </w:r>
            <w:proofErr w:type="spellEnd"/>
            <w:r w:rsidRPr="00252F7D">
              <w:rPr>
                <w:rFonts w:ascii="Times New Roman" w:eastAsia="Times New Roman" w:hAnsi="Times New Roman" w:cs="Times New Roman"/>
                <w:i/>
                <w:sz w:val="21"/>
              </w:rPr>
              <w:t xml:space="preserve">. Das deutsche </w:t>
            </w:r>
            <w:proofErr w:type="spellStart"/>
            <w:r w:rsidRPr="00252F7D">
              <w:rPr>
                <w:rFonts w:ascii="Times New Roman" w:eastAsia="Times New Roman" w:hAnsi="Times New Roman" w:cs="Times New Roman"/>
                <w:i/>
                <w:sz w:val="21"/>
              </w:rPr>
              <w:t>bürgerliche</w:t>
            </w:r>
            <w:proofErr w:type="spellEnd"/>
            <w:r w:rsidRPr="00252F7D">
              <w:rPr>
                <w:rFonts w:ascii="Times New Roman" w:eastAsia="Times New Roman" w:hAnsi="Times New Roman" w:cs="Times New Roman"/>
                <w:i/>
                <w:sz w:val="21"/>
              </w:rPr>
              <w:t xml:space="preserve"> </w:t>
            </w:r>
            <w:proofErr w:type="spellStart"/>
            <w:r w:rsidRPr="00252F7D">
              <w:rPr>
                <w:rFonts w:ascii="Times New Roman" w:eastAsia="Times New Roman" w:hAnsi="Times New Roman" w:cs="Times New Roman"/>
                <w:i/>
                <w:sz w:val="21"/>
              </w:rPr>
              <w:t>Trauerspiel</w:t>
            </w:r>
            <w:proofErr w:type="spellEnd"/>
            <w:r w:rsidRPr="00252F7D">
              <w:rPr>
                <w:rFonts w:ascii="Times New Roman" w:eastAsia="Times New Roman" w:hAnsi="Times New Roman" w:cs="Times New Roman"/>
                <w:i/>
                <w:sz w:val="21"/>
              </w:rPr>
              <w:t xml:space="preserve"> </w:t>
            </w:r>
            <w:proofErr w:type="spellStart"/>
            <w:r w:rsidRPr="00252F7D">
              <w:rPr>
                <w:rFonts w:ascii="Times New Roman" w:eastAsia="Times New Roman" w:hAnsi="Times New Roman" w:cs="Times New Roman"/>
                <w:i/>
                <w:sz w:val="21"/>
              </w:rPr>
              <w:t>im</w:t>
            </w:r>
            <w:proofErr w:type="spellEnd"/>
            <w:r w:rsidRPr="00252F7D">
              <w:rPr>
                <w:rFonts w:ascii="Times New Roman" w:eastAsia="Times New Roman" w:hAnsi="Times New Roman" w:cs="Times New Roman"/>
                <w:i/>
                <w:sz w:val="21"/>
              </w:rPr>
              <w:t xml:space="preserve"> 18. </w:t>
            </w:r>
          </w:p>
          <w:p w:rsidR="00770979" w:rsidRPr="00252F7D" w:rsidRDefault="00F9529A">
            <w:pPr>
              <w:ind w:left="701"/>
              <w:rPr>
                <w:rFonts w:ascii="Times New Roman" w:hAnsi="Times New Roman" w:cs="Times New Roman"/>
              </w:rPr>
            </w:pPr>
            <w:proofErr w:type="spellStart"/>
            <w:r w:rsidRPr="00252F7D">
              <w:rPr>
                <w:rFonts w:ascii="Times New Roman" w:eastAsia="Times New Roman" w:hAnsi="Times New Roman" w:cs="Times New Roman"/>
                <w:i/>
                <w:sz w:val="21"/>
              </w:rPr>
              <w:t>Jahrhundert</w:t>
            </w:r>
            <w:proofErr w:type="spellEnd"/>
            <w:r w:rsidRPr="00252F7D">
              <w:rPr>
                <w:rFonts w:ascii="Times New Roman" w:eastAsia="Times New Roman" w:hAnsi="Times New Roman" w:cs="Times New Roman"/>
                <w:i/>
                <w:sz w:val="21"/>
              </w:rPr>
              <w:t xml:space="preserve">: </w:t>
            </w:r>
            <w:proofErr w:type="spellStart"/>
            <w:r w:rsidRPr="00252F7D">
              <w:rPr>
                <w:rFonts w:ascii="Times New Roman" w:eastAsia="Times New Roman" w:hAnsi="Times New Roman" w:cs="Times New Roman"/>
                <w:i/>
                <w:sz w:val="21"/>
              </w:rPr>
              <w:t>Versuch</w:t>
            </w:r>
            <w:proofErr w:type="spellEnd"/>
            <w:r w:rsidRPr="00252F7D">
              <w:rPr>
                <w:rFonts w:ascii="Times New Roman" w:eastAsia="Times New Roman" w:hAnsi="Times New Roman" w:cs="Times New Roman"/>
                <w:i/>
                <w:sz w:val="21"/>
              </w:rPr>
              <w:t xml:space="preserve"> </w:t>
            </w:r>
            <w:proofErr w:type="spellStart"/>
            <w:r w:rsidRPr="00252F7D">
              <w:rPr>
                <w:rFonts w:ascii="Times New Roman" w:eastAsia="Times New Roman" w:hAnsi="Times New Roman" w:cs="Times New Roman"/>
                <w:i/>
                <w:sz w:val="21"/>
              </w:rPr>
              <w:t>einer</w:t>
            </w:r>
            <w:proofErr w:type="spellEnd"/>
            <w:r w:rsidRPr="00252F7D">
              <w:rPr>
                <w:rFonts w:ascii="Times New Roman" w:eastAsia="Times New Roman" w:hAnsi="Times New Roman" w:cs="Times New Roman"/>
                <w:i/>
                <w:sz w:val="21"/>
              </w:rPr>
              <w:t xml:space="preserve"> </w:t>
            </w:r>
            <w:proofErr w:type="spellStart"/>
            <w:r w:rsidRPr="00252F7D">
              <w:rPr>
                <w:rFonts w:ascii="Times New Roman" w:eastAsia="Times New Roman" w:hAnsi="Times New Roman" w:cs="Times New Roman"/>
                <w:i/>
                <w:sz w:val="21"/>
              </w:rPr>
              <w:t>Typologie</w:t>
            </w:r>
            <w:proofErr w:type="spellEnd"/>
            <w:r w:rsidRPr="00252F7D">
              <w:rPr>
                <w:rFonts w:ascii="Times New Roman" w:eastAsia="Times New Roman" w:hAnsi="Times New Roman" w:cs="Times New Roman"/>
                <w:sz w:val="21"/>
              </w:rPr>
              <w:t xml:space="preserve">, De </w:t>
            </w:r>
            <w:proofErr w:type="spellStart"/>
            <w:r w:rsidRPr="00252F7D">
              <w:rPr>
                <w:rFonts w:ascii="Times New Roman" w:eastAsia="Times New Roman" w:hAnsi="Times New Roman" w:cs="Times New Roman"/>
                <w:sz w:val="21"/>
              </w:rPr>
              <w:t>Gruyter</w:t>
            </w:r>
            <w:proofErr w:type="spellEnd"/>
            <w:r w:rsidRPr="00252F7D">
              <w:rPr>
                <w:rFonts w:ascii="Times New Roman" w:eastAsia="Times New Roman" w:hAnsi="Times New Roman" w:cs="Times New Roman"/>
                <w:sz w:val="21"/>
              </w:rPr>
              <w:t xml:space="preserve">, 1993.  </w:t>
            </w:r>
          </w:p>
          <w:p w:rsidR="00770979" w:rsidRPr="00252F7D" w:rsidRDefault="00F9529A">
            <w:pPr>
              <w:numPr>
                <w:ilvl w:val="0"/>
                <w:numId w:val="1"/>
              </w:numPr>
              <w:ind w:left="700" w:hanging="350"/>
              <w:rPr>
                <w:rFonts w:ascii="Times New Roman" w:hAnsi="Times New Roman" w:cs="Times New Roman"/>
              </w:rPr>
            </w:pPr>
            <w:r w:rsidRPr="00252F7D">
              <w:rPr>
                <w:rFonts w:ascii="Times New Roman" w:eastAsia="Times New Roman" w:hAnsi="Times New Roman" w:cs="Times New Roman"/>
                <w:sz w:val="21"/>
              </w:rPr>
              <w:t xml:space="preserve">Cornelia </w:t>
            </w:r>
            <w:proofErr w:type="spellStart"/>
            <w:r w:rsidRPr="00252F7D">
              <w:rPr>
                <w:rFonts w:ascii="Times New Roman" w:eastAsia="Times New Roman" w:hAnsi="Times New Roman" w:cs="Times New Roman"/>
                <w:sz w:val="21"/>
              </w:rPr>
              <w:t>Zumbusch</w:t>
            </w:r>
            <w:proofErr w:type="spellEnd"/>
            <w:r w:rsidRPr="00252F7D">
              <w:rPr>
                <w:rFonts w:ascii="Times New Roman" w:eastAsia="Times New Roman" w:hAnsi="Times New Roman" w:cs="Times New Roman"/>
                <w:sz w:val="21"/>
              </w:rPr>
              <w:t xml:space="preserve">: </w:t>
            </w:r>
            <w:proofErr w:type="spellStart"/>
            <w:r w:rsidRPr="00252F7D">
              <w:rPr>
                <w:rFonts w:ascii="Times New Roman" w:eastAsia="Times New Roman" w:hAnsi="Times New Roman" w:cs="Times New Roman"/>
                <w:i/>
                <w:sz w:val="21"/>
              </w:rPr>
              <w:t>Immunität</w:t>
            </w:r>
            <w:proofErr w:type="spellEnd"/>
            <w:r w:rsidRPr="00252F7D">
              <w:rPr>
                <w:rFonts w:ascii="Times New Roman" w:eastAsia="Times New Roman" w:hAnsi="Times New Roman" w:cs="Times New Roman"/>
                <w:i/>
                <w:sz w:val="21"/>
              </w:rPr>
              <w:t xml:space="preserve"> der </w:t>
            </w:r>
            <w:proofErr w:type="spellStart"/>
            <w:r w:rsidRPr="00252F7D">
              <w:rPr>
                <w:rFonts w:ascii="Times New Roman" w:eastAsia="Times New Roman" w:hAnsi="Times New Roman" w:cs="Times New Roman"/>
                <w:i/>
                <w:sz w:val="21"/>
              </w:rPr>
              <w:t>Klassik</w:t>
            </w:r>
            <w:proofErr w:type="spellEnd"/>
            <w:r w:rsidRPr="00252F7D">
              <w:rPr>
                <w:rFonts w:ascii="Times New Roman" w:eastAsia="Times New Roman" w:hAnsi="Times New Roman" w:cs="Times New Roman"/>
                <w:sz w:val="21"/>
              </w:rPr>
              <w:t xml:space="preserve">, Berlin: </w:t>
            </w:r>
            <w:proofErr w:type="spellStart"/>
            <w:r w:rsidRPr="00252F7D">
              <w:rPr>
                <w:rFonts w:ascii="Times New Roman" w:eastAsia="Times New Roman" w:hAnsi="Times New Roman" w:cs="Times New Roman"/>
                <w:sz w:val="21"/>
              </w:rPr>
              <w:t>Suhrkamp</w:t>
            </w:r>
            <w:proofErr w:type="spellEnd"/>
            <w:r w:rsidRPr="00252F7D">
              <w:rPr>
                <w:rFonts w:ascii="Times New Roman" w:eastAsia="Times New Roman" w:hAnsi="Times New Roman" w:cs="Times New Roman"/>
                <w:sz w:val="21"/>
              </w:rPr>
              <w:t xml:space="preserve"> </w:t>
            </w:r>
            <w:proofErr w:type="spellStart"/>
            <w:r w:rsidRPr="00252F7D">
              <w:rPr>
                <w:rFonts w:ascii="Times New Roman" w:eastAsia="Times New Roman" w:hAnsi="Times New Roman" w:cs="Times New Roman"/>
                <w:sz w:val="21"/>
              </w:rPr>
              <w:t>Verlag</w:t>
            </w:r>
            <w:proofErr w:type="spellEnd"/>
            <w:r w:rsidRPr="00252F7D">
              <w:rPr>
                <w:rFonts w:ascii="Times New Roman" w:eastAsia="Times New Roman" w:hAnsi="Times New Roman" w:cs="Times New Roman"/>
                <w:sz w:val="21"/>
              </w:rPr>
              <w:t xml:space="preserve">, 2011.  </w:t>
            </w:r>
          </w:p>
          <w:p w:rsidR="00770979" w:rsidRPr="00252F7D" w:rsidRDefault="00F9529A">
            <w:pPr>
              <w:numPr>
                <w:ilvl w:val="0"/>
                <w:numId w:val="1"/>
              </w:numPr>
              <w:ind w:left="700" w:hanging="350"/>
              <w:rPr>
                <w:rFonts w:ascii="Times New Roman" w:hAnsi="Times New Roman" w:cs="Times New Roman"/>
              </w:rPr>
            </w:pPr>
            <w:r w:rsidRPr="00252F7D">
              <w:rPr>
                <w:rFonts w:ascii="Times New Roman" w:eastAsia="Times New Roman" w:hAnsi="Times New Roman" w:cs="Times New Roman"/>
                <w:sz w:val="21"/>
              </w:rPr>
              <w:t>Erika Fischer-</w:t>
            </w:r>
            <w:proofErr w:type="spellStart"/>
            <w:r w:rsidRPr="00252F7D">
              <w:rPr>
                <w:rFonts w:ascii="Times New Roman" w:eastAsia="Times New Roman" w:hAnsi="Times New Roman" w:cs="Times New Roman"/>
                <w:sz w:val="21"/>
              </w:rPr>
              <w:t>Lichte</w:t>
            </w:r>
            <w:proofErr w:type="spellEnd"/>
            <w:r w:rsidRPr="00252F7D">
              <w:rPr>
                <w:rFonts w:ascii="Times New Roman" w:eastAsia="Times New Roman" w:hAnsi="Times New Roman" w:cs="Times New Roman"/>
                <w:sz w:val="21"/>
              </w:rPr>
              <w:t xml:space="preserve">: </w:t>
            </w:r>
            <w:r w:rsidRPr="00252F7D">
              <w:rPr>
                <w:rFonts w:ascii="Times New Roman" w:eastAsia="Times New Roman" w:hAnsi="Times New Roman" w:cs="Times New Roman"/>
                <w:i/>
                <w:sz w:val="21"/>
              </w:rPr>
              <w:t>Geschichte des Dramas</w:t>
            </w:r>
            <w:r w:rsidRPr="00252F7D">
              <w:rPr>
                <w:rFonts w:ascii="Times New Roman" w:eastAsia="Times New Roman" w:hAnsi="Times New Roman" w:cs="Times New Roman"/>
                <w:sz w:val="21"/>
              </w:rPr>
              <w:t xml:space="preserve">, 2 </w:t>
            </w:r>
            <w:proofErr w:type="spellStart"/>
            <w:r w:rsidRPr="00252F7D">
              <w:rPr>
                <w:rFonts w:ascii="Times New Roman" w:eastAsia="Times New Roman" w:hAnsi="Times New Roman" w:cs="Times New Roman"/>
                <w:sz w:val="21"/>
              </w:rPr>
              <w:t>Bde</w:t>
            </w:r>
            <w:proofErr w:type="spellEnd"/>
            <w:r w:rsidRPr="00252F7D">
              <w:rPr>
                <w:rFonts w:ascii="Times New Roman" w:eastAsia="Times New Roman" w:hAnsi="Times New Roman" w:cs="Times New Roman"/>
                <w:sz w:val="21"/>
              </w:rPr>
              <w:t xml:space="preserve">, Stuttgart: </w:t>
            </w:r>
            <w:proofErr w:type="spellStart"/>
            <w:r w:rsidRPr="00252F7D">
              <w:rPr>
                <w:rFonts w:ascii="Times New Roman" w:eastAsia="Times New Roman" w:hAnsi="Times New Roman" w:cs="Times New Roman"/>
                <w:sz w:val="21"/>
              </w:rPr>
              <w:t>UTB</w:t>
            </w:r>
            <w:proofErr w:type="spellEnd"/>
            <w:r w:rsidRPr="00252F7D">
              <w:rPr>
                <w:rFonts w:ascii="Times New Roman" w:eastAsia="Times New Roman" w:hAnsi="Times New Roman" w:cs="Times New Roman"/>
                <w:sz w:val="21"/>
              </w:rPr>
              <w:t xml:space="preserve">, 2010.  </w:t>
            </w:r>
          </w:p>
        </w:tc>
      </w:tr>
      <w:tr w:rsidR="00770979" w:rsidRPr="00252F7D">
        <w:trPr>
          <w:trHeight w:val="995"/>
        </w:trPr>
        <w:tc>
          <w:tcPr>
            <w:tcW w:w="9386" w:type="dxa"/>
            <w:gridSpan w:val="6"/>
            <w:tcBorders>
              <w:top w:val="single" w:sz="4" w:space="0" w:color="000000"/>
              <w:left w:val="single" w:sz="4" w:space="0" w:color="000000"/>
              <w:bottom w:val="single" w:sz="4" w:space="0" w:color="000000"/>
              <w:right w:val="single" w:sz="4" w:space="0" w:color="000000"/>
            </w:tcBorders>
          </w:tcPr>
          <w:p w:rsidR="00770979" w:rsidRPr="00252F7D" w:rsidRDefault="00F9529A">
            <w:pPr>
              <w:numPr>
                <w:ilvl w:val="0"/>
                <w:numId w:val="2"/>
              </w:numPr>
              <w:spacing w:after="7" w:line="236" w:lineRule="auto"/>
              <w:ind w:hanging="350"/>
              <w:jc w:val="both"/>
              <w:rPr>
                <w:rFonts w:ascii="Times New Roman" w:hAnsi="Times New Roman" w:cs="Times New Roman"/>
              </w:rPr>
            </w:pPr>
            <w:r w:rsidRPr="00252F7D">
              <w:rPr>
                <w:rFonts w:ascii="Times New Roman" w:eastAsia="Times New Roman" w:hAnsi="Times New Roman" w:cs="Times New Roman"/>
                <w:sz w:val="21"/>
              </w:rPr>
              <w:lastRenderedPageBreak/>
              <w:t xml:space="preserve">Christopher J. Wild: </w:t>
            </w:r>
            <w:r w:rsidRPr="00252F7D">
              <w:rPr>
                <w:rFonts w:ascii="Times New Roman" w:eastAsia="Times New Roman" w:hAnsi="Times New Roman" w:cs="Times New Roman"/>
                <w:i/>
                <w:sz w:val="21"/>
              </w:rPr>
              <w:t xml:space="preserve">Theater der </w:t>
            </w:r>
            <w:proofErr w:type="spellStart"/>
            <w:r w:rsidRPr="00252F7D">
              <w:rPr>
                <w:rFonts w:ascii="Times New Roman" w:eastAsia="Times New Roman" w:hAnsi="Times New Roman" w:cs="Times New Roman"/>
                <w:i/>
                <w:sz w:val="21"/>
              </w:rPr>
              <w:t>Keuschheit</w:t>
            </w:r>
            <w:proofErr w:type="spellEnd"/>
            <w:r w:rsidRPr="00252F7D">
              <w:rPr>
                <w:rFonts w:ascii="Times New Roman" w:eastAsia="Times New Roman" w:hAnsi="Times New Roman" w:cs="Times New Roman"/>
                <w:i/>
                <w:sz w:val="21"/>
              </w:rPr>
              <w:t xml:space="preserve"> – </w:t>
            </w:r>
            <w:proofErr w:type="spellStart"/>
            <w:r w:rsidRPr="00252F7D">
              <w:rPr>
                <w:rFonts w:ascii="Times New Roman" w:eastAsia="Times New Roman" w:hAnsi="Times New Roman" w:cs="Times New Roman"/>
                <w:i/>
                <w:sz w:val="21"/>
              </w:rPr>
              <w:t>Keuschheit</w:t>
            </w:r>
            <w:proofErr w:type="spellEnd"/>
            <w:r w:rsidRPr="00252F7D">
              <w:rPr>
                <w:rFonts w:ascii="Times New Roman" w:eastAsia="Times New Roman" w:hAnsi="Times New Roman" w:cs="Times New Roman"/>
                <w:i/>
                <w:sz w:val="21"/>
              </w:rPr>
              <w:t xml:space="preserve"> des Theaters</w:t>
            </w:r>
            <w:r w:rsidRPr="00252F7D">
              <w:rPr>
                <w:rFonts w:ascii="Times New Roman" w:eastAsia="Times New Roman" w:hAnsi="Times New Roman" w:cs="Times New Roman"/>
                <w:sz w:val="21"/>
              </w:rPr>
              <w:t xml:space="preserve">, </w:t>
            </w:r>
            <w:proofErr w:type="spellStart"/>
            <w:r w:rsidRPr="00252F7D">
              <w:rPr>
                <w:rFonts w:ascii="Times New Roman" w:eastAsia="Times New Roman" w:hAnsi="Times New Roman" w:cs="Times New Roman"/>
                <w:sz w:val="21"/>
              </w:rPr>
              <w:t>Rombach</w:t>
            </w:r>
            <w:proofErr w:type="spellEnd"/>
            <w:r w:rsidRPr="00252F7D">
              <w:rPr>
                <w:rFonts w:ascii="Times New Roman" w:eastAsia="Times New Roman" w:hAnsi="Times New Roman" w:cs="Times New Roman"/>
                <w:sz w:val="21"/>
              </w:rPr>
              <w:t xml:space="preserve"> </w:t>
            </w:r>
            <w:proofErr w:type="spellStart"/>
            <w:r w:rsidRPr="00252F7D">
              <w:rPr>
                <w:rFonts w:ascii="Times New Roman" w:eastAsia="Times New Roman" w:hAnsi="Times New Roman" w:cs="Times New Roman"/>
                <w:sz w:val="21"/>
              </w:rPr>
              <w:t>Druck</w:t>
            </w:r>
            <w:proofErr w:type="spellEnd"/>
            <w:r w:rsidRPr="00252F7D">
              <w:rPr>
                <w:rFonts w:ascii="Times New Roman" w:eastAsia="Times New Roman" w:hAnsi="Times New Roman" w:cs="Times New Roman"/>
                <w:sz w:val="21"/>
              </w:rPr>
              <w:t xml:space="preserve">- und </w:t>
            </w:r>
            <w:proofErr w:type="spellStart"/>
            <w:r w:rsidRPr="00252F7D">
              <w:rPr>
                <w:rFonts w:ascii="Times New Roman" w:eastAsia="Times New Roman" w:hAnsi="Times New Roman" w:cs="Times New Roman"/>
                <w:sz w:val="21"/>
              </w:rPr>
              <w:t>Verlagshaus</w:t>
            </w:r>
            <w:proofErr w:type="spellEnd"/>
            <w:r w:rsidRPr="00252F7D">
              <w:rPr>
                <w:rFonts w:ascii="Times New Roman" w:eastAsia="Times New Roman" w:hAnsi="Times New Roman" w:cs="Times New Roman"/>
                <w:sz w:val="21"/>
              </w:rPr>
              <w:t xml:space="preserve">, 2003.  </w:t>
            </w:r>
          </w:p>
          <w:p w:rsidR="00770979" w:rsidRPr="00252F7D" w:rsidRDefault="00F9529A">
            <w:pPr>
              <w:numPr>
                <w:ilvl w:val="0"/>
                <w:numId w:val="2"/>
              </w:numPr>
              <w:ind w:hanging="350"/>
              <w:jc w:val="both"/>
              <w:rPr>
                <w:rFonts w:ascii="Times New Roman" w:hAnsi="Times New Roman" w:cs="Times New Roman"/>
              </w:rPr>
            </w:pPr>
            <w:proofErr w:type="spellStart"/>
            <w:r w:rsidRPr="00252F7D">
              <w:rPr>
                <w:rFonts w:ascii="Times New Roman" w:eastAsia="Times New Roman" w:hAnsi="Times New Roman" w:cs="Times New Roman"/>
                <w:sz w:val="21"/>
              </w:rPr>
              <w:t>Silke</w:t>
            </w:r>
            <w:proofErr w:type="spellEnd"/>
            <w:r w:rsidRPr="00252F7D">
              <w:rPr>
                <w:rFonts w:ascii="Times New Roman" w:eastAsia="Times New Roman" w:hAnsi="Times New Roman" w:cs="Times New Roman"/>
                <w:sz w:val="21"/>
              </w:rPr>
              <w:t xml:space="preserve"> Müller, Susanne </w:t>
            </w:r>
            <w:proofErr w:type="spellStart"/>
            <w:r w:rsidRPr="00252F7D">
              <w:rPr>
                <w:rFonts w:ascii="Times New Roman" w:eastAsia="Times New Roman" w:hAnsi="Times New Roman" w:cs="Times New Roman"/>
                <w:sz w:val="21"/>
              </w:rPr>
              <w:t>Wess</w:t>
            </w:r>
            <w:proofErr w:type="spellEnd"/>
            <w:r w:rsidRPr="00252F7D">
              <w:rPr>
                <w:rFonts w:ascii="Times New Roman" w:eastAsia="Times New Roman" w:hAnsi="Times New Roman" w:cs="Times New Roman"/>
                <w:sz w:val="21"/>
              </w:rPr>
              <w:t xml:space="preserve">: </w:t>
            </w:r>
            <w:proofErr w:type="spellStart"/>
            <w:r w:rsidRPr="00252F7D">
              <w:rPr>
                <w:rFonts w:ascii="Times New Roman" w:eastAsia="Times New Roman" w:hAnsi="Times New Roman" w:cs="Times New Roman"/>
                <w:i/>
                <w:sz w:val="21"/>
              </w:rPr>
              <w:t>Studienbuch</w:t>
            </w:r>
            <w:proofErr w:type="spellEnd"/>
            <w:r w:rsidRPr="00252F7D">
              <w:rPr>
                <w:rFonts w:ascii="Times New Roman" w:eastAsia="Times New Roman" w:hAnsi="Times New Roman" w:cs="Times New Roman"/>
                <w:i/>
                <w:sz w:val="21"/>
              </w:rPr>
              <w:t xml:space="preserve"> </w:t>
            </w:r>
            <w:proofErr w:type="spellStart"/>
            <w:r w:rsidRPr="00252F7D">
              <w:rPr>
                <w:rFonts w:ascii="Times New Roman" w:eastAsia="Times New Roman" w:hAnsi="Times New Roman" w:cs="Times New Roman"/>
                <w:i/>
                <w:sz w:val="21"/>
              </w:rPr>
              <w:t>Neuere</w:t>
            </w:r>
            <w:proofErr w:type="spellEnd"/>
            <w:r w:rsidRPr="00252F7D">
              <w:rPr>
                <w:rFonts w:ascii="Times New Roman" w:eastAsia="Times New Roman" w:hAnsi="Times New Roman" w:cs="Times New Roman"/>
                <w:i/>
                <w:sz w:val="21"/>
              </w:rPr>
              <w:t xml:space="preserve"> deutsche </w:t>
            </w:r>
            <w:proofErr w:type="spellStart"/>
            <w:r w:rsidRPr="00252F7D">
              <w:rPr>
                <w:rFonts w:ascii="Times New Roman" w:eastAsia="Times New Roman" w:hAnsi="Times New Roman" w:cs="Times New Roman"/>
                <w:i/>
                <w:sz w:val="21"/>
              </w:rPr>
              <w:t>Literaturwissenschaft</w:t>
            </w:r>
            <w:proofErr w:type="spellEnd"/>
            <w:r w:rsidRPr="00252F7D">
              <w:rPr>
                <w:rFonts w:ascii="Times New Roman" w:eastAsia="Times New Roman" w:hAnsi="Times New Roman" w:cs="Times New Roman"/>
                <w:i/>
                <w:sz w:val="21"/>
              </w:rPr>
              <w:t>: 1720-1848</w:t>
            </w:r>
            <w:r w:rsidRPr="00252F7D">
              <w:rPr>
                <w:rFonts w:ascii="Times New Roman" w:eastAsia="Times New Roman" w:hAnsi="Times New Roman" w:cs="Times New Roman"/>
                <w:sz w:val="21"/>
              </w:rPr>
              <w:t xml:space="preserve">, </w:t>
            </w:r>
            <w:proofErr w:type="spellStart"/>
            <w:r w:rsidRPr="00252F7D">
              <w:rPr>
                <w:rFonts w:ascii="Times New Roman" w:eastAsia="Times New Roman" w:hAnsi="Times New Roman" w:cs="Times New Roman"/>
                <w:sz w:val="21"/>
              </w:rPr>
              <w:t>Känigshausen</w:t>
            </w:r>
            <w:proofErr w:type="spellEnd"/>
            <w:r w:rsidRPr="00252F7D">
              <w:rPr>
                <w:rFonts w:ascii="Times New Roman" w:eastAsia="Times New Roman" w:hAnsi="Times New Roman" w:cs="Times New Roman"/>
                <w:sz w:val="21"/>
              </w:rPr>
              <w:t xml:space="preserve"> &amp; Neumann, 1999.  </w:t>
            </w:r>
          </w:p>
        </w:tc>
      </w:tr>
      <w:tr w:rsidR="00770979" w:rsidRPr="00252F7D">
        <w:trPr>
          <w:trHeight w:val="25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770979" w:rsidRPr="00252F7D" w:rsidRDefault="002F5520">
            <w:pPr>
              <w:ind w:left="1"/>
              <w:rPr>
                <w:rFonts w:ascii="Times New Roman" w:hAnsi="Times New Roman" w:cs="Times New Roman"/>
              </w:rPr>
            </w:pPr>
            <w:r w:rsidRPr="00252F7D">
              <w:rPr>
                <w:rFonts w:ascii="Times New Roman" w:eastAsia="Times New Roman" w:hAnsi="Times New Roman" w:cs="Times New Roman"/>
                <w:b/>
                <w:sz w:val="21"/>
              </w:rPr>
              <w:t>Forms of knowledge testing and assessment:</w:t>
            </w:r>
          </w:p>
        </w:tc>
      </w:tr>
      <w:tr w:rsidR="00770979" w:rsidRPr="00252F7D">
        <w:trPr>
          <w:trHeight w:val="251"/>
        </w:trPr>
        <w:tc>
          <w:tcPr>
            <w:tcW w:w="9386" w:type="dxa"/>
            <w:gridSpan w:val="6"/>
            <w:tcBorders>
              <w:top w:val="single" w:sz="4" w:space="0" w:color="000000"/>
              <w:left w:val="single" w:sz="4" w:space="0" w:color="000000"/>
              <w:bottom w:val="single" w:sz="4" w:space="0" w:color="000000"/>
              <w:right w:val="single" w:sz="4" w:space="0" w:color="000000"/>
            </w:tcBorders>
          </w:tcPr>
          <w:p w:rsidR="00770979" w:rsidRPr="00252F7D" w:rsidRDefault="00F9529A">
            <w:pPr>
              <w:ind w:left="1"/>
              <w:rPr>
                <w:rFonts w:ascii="Times New Roman" w:hAnsi="Times New Roman" w:cs="Times New Roman"/>
              </w:rPr>
            </w:pPr>
            <w:r w:rsidRPr="00252F7D">
              <w:rPr>
                <w:rFonts w:ascii="Times New Roman" w:eastAsia="Times New Roman" w:hAnsi="Times New Roman" w:cs="Times New Roman"/>
                <w:sz w:val="21"/>
              </w:rPr>
              <w:t xml:space="preserve"> </w:t>
            </w:r>
          </w:p>
        </w:tc>
      </w:tr>
      <w:tr w:rsidR="00770979" w:rsidRPr="00252F7D" w:rsidTr="00732F37">
        <w:trPr>
          <w:trHeight w:val="259"/>
        </w:trPr>
        <w:tc>
          <w:tcPr>
            <w:tcW w:w="2511" w:type="dxa"/>
            <w:tcBorders>
              <w:top w:val="single" w:sz="4" w:space="0" w:color="000000"/>
              <w:left w:val="single" w:sz="4" w:space="0" w:color="000000"/>
              <w:bottom w:val="single" w:sz="4" w:space="0" w:color="000000"/>
              <w:right w:val="single" w:sz="4" w:space="0" w:color="000000"/>
            </w:tcBorders>
          </w:tcPr>
          <w:p w:rsidR="00770979" w:rsidRPr="00252F7D" w:rsidRDefault="00F9529A">
            <w:pPr>
              <w:ind w:left="1"/>
              <w:rPr>
                <w:rFonts w:ascii="Times New Roman" w:hAnsi="Times New Roman" w:cs="Times New Roman"/>
              </w:rPr>
            </w:pPr>
            <w:r w:rsidRPr="00252F7D">
              <w:rPr>
                <w:rFonts w:ascii="Times New Roman" w:eastAsia="Times New Roman" w:hAnsi="Times New Roman" w:cs="Times New Roman"/>
                <w:b/>
                <w:sz w:val="21"/>
              </w:rPr>
              <w:t xml:space="preserve"> </w:t>
            </w:r>
          </w:p>
        </w:tc>
        <w:tc>
          <w:tcPr>
            <w:tcW w:w="1094" w:type="dxa"/>
            <w:tcBorders>
              <w:top w:val="single" w:sz="4" w:space="0" w:color="000000"/>
              <w:left w:val="single" w:sz="4" w:space="0" w:color="000000"/>
              <w:bottom w:val="single" w:sz="4" w:space="0" w:color="000000"/>
              <w:right w:val="single" w:sz="4" w:space="0" w:color="000000"/>
            </w:tcBorders>
          </w:tcPr>
          <w:p w:rsidR="00770979" w:rsidRPr="00252F7D" w:rsidRDefault="00F9529A">
            <w:pPr>
              <w:ind w:left="5"/>
              <w:rPr>
                <w:rFonts w:ascii="Times New Roman" w:hAnsi="Times New Roman" w:cs="Times New Roman"/>
              </w:rPr>
            </w:pPr>
            <w:r w:rsidRPr="00252F7D">
              <w:rPr>
                <w:rFonts w:ascii="Times New Roman" w:eastAsia="Times New Roman" w:hAnsi="Times New Roman" w:cs="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tcPr>
          <w:p w:rsidR="00770979" w:rsidRPr="00252F7D" w:rsidRDefault="00F9529A">
            <w:pPr>
              <w:rPr>
                <w:rFonts w:ascii="Times New Roman" w:hAnsi="Times New Roman" w:cs="Times New Roman"/>
              </w:rPr>
            </w:pPr>
            <w:r w:rsidRPr="00252F7D">
              <w:rPr>
                <w:rFonts w:ascii="Times New Roman" w:eastAsia="Times New Roman" w:hAnsi="Times New Roman" w:cs="Times New Roman"/>
                <w:sz w:val="21"/>
              </w:rPr>
              <w:t xml:space="preserve"> </w:t>
            </w:r>
          </w:p>
        </w:tc>
        <w:tc>
          <w:tcPr>
            <w:tcW w:w="1051" w:type="dxa"/>
            <w:tcBorders>
              <w:top w:val="single" w:sz="4" w:space="0" w:color="000000"/>
              <w:left w:val="single" w:sz="4" w:space="0" w:color="000000"/>
              <w:bottom w:val="single" w:sz="4" w:space="0" w:color="000000"/>
              <w:right w:val="single" w:sz="4" w:space="0" w:color="000000"/>
            </w:tcBorders>
          </w:tcPr>
          <w:p w:rsidR="00770979" w:rsidRPr="00252F7D" w:rsidRDefault="00F9529A">
            <w:pPr>
              <w:rPr>
                <w:rFonts w:ascii="Times New Roman" w:hAnsi="Times New Roman" w:cs="Times New Roman"/>
              </w:rPr>
            </w:pPr>
            <w:r w:rsidRPr="00252F7D">
              <w:rPr>
                <w:rFonts w:ascii="Times New Roman" w:eastAsia="Times New Roman" w:hAnsi="Times New Roman" w:cs="Times New Roman"/>
                <w:sz w:val="20"/>
              </w:rPr>
              <w:t xml:space="preserve"> </w:t>
            </w:r>
          </w:p>
        </w:tc>
        <w:tc>
          <w:tcPr>
            <w:tcW w:w="1925" w:type="dxa"/>
            <w:tcBorders>
              <w:top w:val="single" w:sz="4" w:space="0" w:color="000000"/>
              <w:left w:val="single" w:sz="4" w:space="0" w:color="000000"/>
              <w:bottom w:val="single" w:sz="4" w:space="0" w:color="000000"/>
              <w:right w:val="single" w:sz="4" w:space="0" w:color="000000"/>
            </w:tcBorders>
          </w:tcPr>
          <w:p w:rsidR="00770979" w:rsidRPr="00252F7D" w:rsidRDefault="00F9529A">
            <w:pPr>
              <w:rPr>
                <w:rFonts w:ascii="Times New Roman" w:hAnsi="Times New Roman" w:cs="Times New Roman"/>
              </w:rPr>
            </w:pPr>
            <w:r w:rsidRPr="00252F7D">
              <w:rPr>
                <w:rFonts w:ascii="Times New Roman" w:eastAsia="Times New Roman" w:hAnsi="Times New Roman" w:cs="Times New Roman"/>
                <w:sz w:val="21"/>
              </w:rPr>
              <w:t xml:space="preserve"> </w:t>
            </w:r>
          </w:p>
        </w:tc>
        <w:tc>
          <w:tcPr>
            <w:tcW w:w="875" w:type="dxa"/>
            <w:tcBorders>
              <w:top w:val="single" w:sz="4" w:space="0" w:color="000000"/>
              <w:left w:val="single" w:sz="4" w:space="0" w:color="000000"/>
              <w:bottom w:val="single" w:sz="4" w:space="0" w:color="000000"/>
              <w:right w:val="single" w:sz="4" w:space="0" w:color="000000"/>
            </w:tcBorders>
          </w:tcPr>
          <w:p w:rsidR="00770979" w:rsidRPr="00252F7D" w:rsidRDefault="00F9529A">
            <w:pPr>
              <w:rPr>
                <w:rFonts w:ascii="Times New Roman" w:hAnsi="Times New Roman" w:cs="Times New Roman"/>
              </w:rPr>
            </w:pPr>
            <w:r w:rsidRPr="00252F7D">
              <w:rPr>
                <w:rFonts w:ascii="Times New Roman" w:eastAsia="Times New Roman" w:hAnsi="Times New Roman" w:cs="Times New Roman"/>
                <w:sz w:val="20"/>
              </w:rPr>
              <w:t xml:space="preserve"> </w:t>
            </w:r>
          </w:p>
        </w:tc>
      </w:tr>
      <w:tr w:rsidR="00770979" w:rsidRPr="00252F7D" w:rsidTr="00732F37">
        <w:trPr>
          <w:trHeight w:val="257"/>
        </w:trPr>
        <w:tc>
          <w:tcPr>
            <w:tcW w:w="2511" w:type="dxa"/>
            <w:tcBorders>
              <w:top w:val="single" w:sz="4" w:space="0" w:color="000000"/>
              <w:left w:val="single" w:sz="4" w:space="0" w:color="000000"/>
              <w:bottom w:val="single" w:sz="2" w:space="0" w:color="000000"/>
              <w:right w:val="single" w:sz="4" w:space="0" w:color="000000"/>
            </w:tcBorders>
          </w:tcPr>
          <w:p w:rsidR="00770979" w:rsidRPr="00252F7D" w:rsidRDefault="00F9529A">
            <w:pPr>
              <w:ind w:left="1"/>
              <w:rPr>
                <w:rFonts w:ascii="Times New Roman" w:hAnsi="Times New Roman" w:cs="Times New Roman"/>
              </w:rPr>
            </w:pPr>
            <w:r w:rsidRPr="00252F7D">
              <w:rPr>
                <w:rFonts w:ascii="Times New Roman" w:eastAsia="Times New Roman" w:hAnsi="Times New Roman" w:cs="Times New Roman"/>
                <w:sz w:val="21"/>
              </w:rPr>
              <w:t xml:space="preserve"> </w:t>
            </w:r>
          </w:p>
        </w:tc>
        <w:tc>
          <w:tcPr>
            <w:tcW w:w="1094" w:type="dxa"/>
            <w:tcBorders>
              <w:top w:val="single" w:sz="4" w:space="0" w:color="000000"/>
              <w:left w:val="single" w:sz="4" w:space="0" w:color="000000"/>
              <w:bottom w:val="single" w:sz="2" w:space="0" w:color="000000"/>
              <w:right w:val="single" w:sz="4" w:space="0" w:color="000000"/>
            </w:tcBorders>
          </w:tcPr>
          <w:p w:rsidR="00770979" w:rsidRPr="00252F7D" w:rsidRDefault="00F9529A">
            <w:pPr>
              <w:ind w:left="5"/>
              <w:rPr>
                <w:rFonts w:ascii="Times New Roman" w:hAnsi="Times New Roman" w:cs="Times New Roman"/>
              </w:rPr>
            </w:pPr>
            <w:r w:rsidRPr="00252F7D">
              <w:rPr>
                <w:rFonts w:ascii="Times New Roman" w:eastAsia="Times New Roman" w:hAnsi="Times New Roman" w:cs="Times New Roman"/>
                <w:sz w:val="20"/>
              </w:rPr>
              <w:t xml:space="preserve"> </w:t>
            </w:r>
          </w:p>
        </w:tc>
        <w:tc>
          <w:tcPr>
            <w:tcW w:w="1930" w:type="dxa"/>
            <w:tcBorders>
              <w:top w:val="single" w:sz="4" w:space="0" w:color="000000"/>
              <w:left w:val="single" w:sz="4" w:space="0" w:color="000000"/>
              <w:bottom w:val="single" w:sz="2" w:space="0" w:color="000000"/>
              <w:right w:val="single" w:sz="4" w:space="0" w:color="000000"/>
            </w:tcBorders>
          </w:tcPr>
          <w:p w:rsidR="00770979" w:rsidRPr="00252F7D" w:rsidRDefault="00F9529A">
            <w:pPr>
              <w:rPr>
                <w:rFonts w:ascii="Times New Roman" w:hAnsi="Times New Roman" w:cs="Times New Roman"/>
              </w:rPr>
            </w:pPr>
            <w:r w:rsidRPr="00252F7D">
              <w:rPr>
                <w:rFonts w:ascii="Times New Roman" w:eastAsia="Times New Roman" w:hAnsi="Times New Roman" w:cs="Times New Roman"/>
                <w:sz w:val="21"/>
              </w:rPr>
              <w:t xml:space="preserve"> </w:t>
            </w:r>
          </w:p>
        </w:tc>
        <w:tc>
          <w:tcPr>
            <w:tcW w:w="1051" w:type="dxa"/>
            <w:tcBorders>
              <w:top w:val="single" w:sz="4" w:space="0" w:color="000000"/>
              <w:left w:val="single" w:sz="4" w:space="0" w:color="000000"/>
              <w:bottom w:val="single" w:sz="2" w:space="0" w:color="000000"/>
              <w:right w:val="single" w:sz="4" w:space="0" w:color="000000"/>
            </w:tcBorders>
          </w:tcPr>
          <w:p w:rsidR="00770979" w:rsidRPr="00252F7D" w:rsidRDefault="00F9529A">
            <w:pPr>
              <w:rPr>
                <w:rFonts w:ascii="Times New Roman" w:hAnsi="Times New Roman" w:cs="Times New Roman"/>
              </w:rPr>
            </w:pPr>
            <w:r w:rsidRPr="00252F7D">
              <w:rPr>
                <w:rFonts w:ascii="Times New Roman" w:eastAsia="Times New Roman" w:hAnsi="Times New Roman" w:cs="Times New Roman"/>
                <w:sz w:val="20"/>
              </w:rPr>
              <w:t xml:space="preserve"> </w:t>
            </w:r>
          </w:p>
        </w:tc>
        <w:tc>
          <w:tcPr>
            <w:tcW w:w="1925" w:type="dxa"/>
            <w:tcBorders>
              <w:top w:val="single" w:sz="4" w:space="0" w:color="000000"/>
              <w:left w:val="single" w:sz="4" w:space="0" w:color="000000"/>
              <w:bottom w:val="single" w:sz="2" w:space="0" w:color="000000"/>
              <w:right w:val="single" w:sz="4" w:space="0" w:color="000000"/>
            </w:tcBorders>
          </w:tcPr>
          <w:p w:rsidR="00770979" w:rsidRPr="00252F7D" w:rsidRDefault="00F9529A">
            <w:pPr>
              <w:rPr>
                <w:rFonts w:ascii="Times New Roman" w:hAnsi="Times New Roman" w:cs="Times New Roman"/>
              </w:rPr>
            </w:pPr>
            <w:r w:rsidRPr="00252F7D">
              <w:rPr>
                <w:rFonts w:ascii="Times New Roman" w:eastAsia="Times New Roman" w:hAnsi="Times New Roman" w:cs="Times New Roman"/>
                <w:sz w:val="21"/>
              </w:rPr>
              <w:t xml:space="preserve"> </w:t>
            </w:r>
          </w:p>
        </w:tc>
        <w:tc>
          <w:tcPr>
            <w:tcW w:w="875" w:type="dxa"/>
            <w:tcBorders>
              <w:top w:val="single" w:sz="4" w:space="0" w:color="000000"/>
              <w:left w:val="single" w:sz="4" w:space="0" w:color="000000"/>
              <w:bottom w:val="single" w:sz="2" w:space="0" w:color="000000"/>
              <w:right w:val="single" w:sz="4" w:space="0" w:color="000000"/>
            </w:tcBorders>
          </w:tcPr>
          <w:p w:rsidR="00770979" w:rsidRPr="00252F7D" w:rsidRDefault="00F9529A">
            <w:pPr>
              <w:rPr>
                <w:rFonts w:ascii="Times New Roman" w:hAnsi="Times New Roman" w:cs="Times New Roman"/>
              </w:rPr>
            </w:pPr>
            <w:r w:rsidRPr="00252F7D">
              <w:rPr>
                <w:rFonts w:ascii="Times New Roman" w:eastAsia="Times New Roman" w:hAnsi="Times New Roman" w:cs="Times New Roman"/>
                <w:sz w:val="21"/>
              </w:rPr>
              <w:t xml:space="preserve"> </w:t>
            </w:r>
          </w:p>
        </w:tc>
      </w:tr>
      <w:tr w:rsidR="002F5520" w:rsidRPr="00252F7D">
        <w:trPr>
          <w:trHeight w:val="255"/>
        </w:trPr>
        <w:tc>
          <w:tcPr>
            <w:tcW w:w="9386" w:type="dxa"/>
            <w:gridSpan w:val="6"/>
            <w:tcBorders>
              <w:top w:val="single" w:sz="2" w:space="0" w:color="000000"/>
              <w:left w:val="single" w:sz="4" w:space="0" w:color="000000"/>
              <w:bottom w:val="single" w:sz="4" w:space="0" w:color="000000"/>
              <w:right w:val="single" w:sz="4" w:space="0" w:color="000000"/>
            </w:tcBorders>
            <w:shd w:val="clear" w:color="auto" w:fill="B3B3B3"/>
          </w:tcPr>
          <w:p w:rsidR="002F5520" w:rsidRPr="00252F7D" w:rsidRDefault="002F5520" w:rsidP="002F5520">
            <w:pPr>
              <w:rPr>
                <w:rFonts w:ascii="Times New Roman" w:hAnsi="Times New Roman" w:cs="Times New Roman"/>
                <w:b/>
              </w:rPr>
            </w:pPr>
            <w:r w:rsidRPr="00252F7D">
              <w:rPr>
                <w:rFonts w:ascii="Times New Roman" w:hAnsi="Times New Roman" w:cs="Times New Roman"/>
                <w:b/>
              </w:rPr>
              <w:t>Special indication for the subject:</w:t>
            </w:r>
          </w:p>
        </w:tc>
      </w:tr>
      <w:tr w:rsidR="002F5520" w:rsidRPr="00252F7D">
        <w:trPr>
          <w:trHeight w:val="262"/>
        </w:trPr>
        <w:tc>
          <w:tcPr>
            <w:tcW w:w="9386" w:type="dxa"/>
            <w:gridSpan w:val="6"/>
            <w:tcBorders>
              <w:top w:val="single" w:sz="4" w:space="0" w:color="000000"/>
              <w:left w:val="single" w:sz="4" w:space="0" w:color="000000"/>
              <w:bottom w:val="single" w:sz="4" w:space="0" w:color="000000"/>
              <w:right w:val="single" w:sz="4" w:space="0" w:color="000000"/>
            </w:tcBorders>
          </w:tcPr>
          <w:p w:rsidR="002F5520" w:rsidRPr="00252F7D" w:rsidRDefault="002F5520" w:rsidP="002F5520">
            <w:pPr>
              <w:rPr>
                <w:rFonts w:ascii="Times New Roman" w:hAnsi="Times New Roman" w:cs="Times New Roman"/>
              </w:rPr>
            </w:pPr>
            <w:r w:rsidRPr="00252F7D">
              <w:rPr>
                <w:rFonts w:ascii="Times New Roman" w:hAnsi="Times New Roman" w:cs="Times New Roman"/>
              </w:rPr>
              <w:t xml:space="preserve"> </w:t>
            </w:r>
          </w:p>
        </w:tc>
      </w:tr>
      <w:tr w:rsidR="002F5520" w:rsidRPr="00252F7D">
        <w:trPr>
          <w:trHeight w:val="24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2F5520" w:rsidRPr="00252F7D" w:rsidRDefault="002F5520" w:rsidP="002F5520">
            <w:pPr>
              <w:rPr>
                <w:rFonts w:ascii="Times New Roman" w:hAnsi="Times New Roman" w:cs="Times New Roman"/>
                <w:b/>
              </w:rPr>
            </w:pPr>
            <w:r w:rsidRPr="00252F7D">
              <w:rPr>
                <w:rFonts w:ascii="Times New Roman" w:hAnsi="Times New Roman" w:cs="Times New Roman"/>
                <w:b/>
              </w:rPr>
              <w:t xml:space="preserve">Name and surname of the professor who prepared the data: Dr. </w:t>
            </w:r>
            <w:proofErr w:type="spellStart"/>
            <w:r w:rsidRPr="00252F7D">
              <w:rPr>
                <w:rFonts w:ascii="Times New Roman" w:hAnsi="Times New Roman" w:cs="Times New Roman"/>
                <w:b/>
              </w:rPr>
              <w:t>Ljiljana</w:t>
            </w:r>
            <w:proofErr w:type="spellEnd"/>
            <w:r w:rsidRPr="00252F7D">
              <w:rPr>
                <w:rFonts w:ascii="Times New Roman" w:hAnsi="Times New Roman" w:cs="Times New Roman"/>
                <w:b/>
              </w:rPr>
              <w:t xml:space="preserve"> </w:t>
            </w:r>
            <w:proofErr w:type="spellStart"/>
            <w:r w:rsidRPr="00252F7D">
              <w:rPr>
                <w:rFonts w:ascii="Times New Roman" w:hAnsi="Times New Roman" w:cs="Times New Roman"/>
                <w:b/>
              </w:rPr>
              <w:t>Aćimović</w:t>
            </w:r>
            <w:proofErr w:type="spellEnd"/>
          </w:p>
        </w:tc>
      </w:tr>
    </w:tbl>
    <w:p w:rsidR="00770979" w:rsidRPr="00252F7D" w:rsidRDefault="00F9529A">
      <w:pPr>
        <w:spacing w:after="0"/>
        <w:ind w:left="-38"/>
        <w:jc w:val="both"/>
        <w:rPr>
          <w:rFonts w:ascii="Times New Roman" w:hAnsi="Times New Roman" w:cs="Times New Roman"/>
        </w:rPr>
      </w:pPr>
      <w:r w:rsidRPr="00252F7D">
        <w:rPr>
          <w:rFonts w:ascii="Times New Roman" w:eastAsia="Times New Roman" w:hAnsi="Times New Roman" w:cs="Times New Roman"/>
          <w:sz w:val="25"/>
        </w:rPr>
        <w:t xml:space="preserve"> </w:t>
      </w:r>
    </w:p>
    <w:p w:rsidR="00770979" w:rsidRPr="00252F7D" w:rsidRDefault="00F9529A">
      <w:pPr>
        <w:spacing w:after="0"/>
        <w:ind w:left="-38"/>
        <w:jc w:val="both"/>
        <w:rPr>
          <w:rFonts w:ascii="Times New Roman" w:hAnsi="Times New Roman" w:cs="Times New Roman"/>
        </w:rPr>
      </w:pPr>
      <w:r w:rsidRPr="00252F7D">
        <w:rPr>
          <w:rFonts w:ascii="Times New Roman" w:eastAsia="Times New Roman" w:hAnsi="Times New Roman" w:cs="Times New Roman"/>
          <w:sz w:val="25"/>
        </w:rPr>
        <w:t xml:space="preserve"> </w:t>
      </w:r>
    </w:p>
    <w:p w:rsidR="00770979" w:rsidRPr="00252F7D" w:rsidRDefault="00F9529A">
      <w:pPr>
        <w:spacing w:after="0"/>
        <w:ind w:left="-38"/>
        <w:jc w:val="both"/>
        <w:rPr>
          <w:rFonts w:ascii="Times New Roman" w:hAnsi="Times New Roman" w:cs="Times New Roman"/>
        </w:rPr>
      </w:pPr>
      <w:r w:rsidRPr="00252F7D">
        <w:rPr>
          <w:rFonts w:ascii="Times New Roman" w:eastAsia="Times New Roman" w:hAnsi="Times New Roman" w:cs="Times New Roman"/>
          <w:sz w:val="25"/>
        </w:rPr>
        <w:t xml:space="preserve"> </w:t>
      </w:r>
    </w:p>
    <w:sectPr w:rsidR="00770979" w:rsidRPr="00252F7D">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7520"/>
    <w:multiLevelType w:val="hybridMultilevel"/>
    <w:tmpl w:val="308CCD96"/>
    <w:lvl w:ilvl="0" w:tplc="AFF4C95E">
      <w:start w:val="8"/>
      <w:numFmt w:val="decimal"/>
      <w:lvlText w:val="%1."/>
      <w:lvlJc w:val="left"/>
      <w:pPr>
        <w:ind w:left="7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8F5641AA">
      <w:start w:val="1"/>
      <w:numFmt w:val="lowerLetter"/>
      <w:lvlText w:val="%2"/>
      <w:lvlJc w:val="left"/>
      <w:pPr>
        <w:ind w:left="15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DAEA8BE">
      <w:start w:val="1"/>
      <w:numFmt w:val="lowerRoman"/>
      <w:lvlText w:val="%3"/>
      <w:lvlJc w:val="left"/>
      <w:pPr>
        <w:ind w:left="22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0D32B93E">
      <w:start w:val="1"/>
      <w:numFmt w:val="decimal"/>
      <w:lvlText w:val="%4"/>
      <w:lvlJc w:val="left"/>
      <w:pPr>
        <w:ind w:left="29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49E6E30">
      <w:start w:val="1"/>
      <w:numFmt w:val="lowerLetter"/>
      <w:lvlText w:val="%5"/>
      <w:lvlJc w:val="left"/>
      <w:pPr>
        <w:ind w:left="36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BD490B8">
      <w:start w:val="1"/>
      <w:numFmt w:val="lowerRoman"/>
      <w:lvlText w:val="%6"/>
      <w:lvlJc w:val="left"/>
      <w:pPr>
        <w:ind w:left="441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BBE0CC8">
      <w:start w:val="1"/>
      <w:numFmt w:val="decimal"/>
      <w:lvlText w:val="%7"/>
      <w:lvlJc w:val="left"/>
      <w:pPr>
        <w:ind w:left="51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DECDFFA">
      <w:start w:val="1"/>
      <w:numFmt w:val="lowerLetter"/>
      <w:lvlText w:val="%8"/>
      <w:lvlJc w:val="left"/>
      <w:pPr>
        <w:ind w:left="58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F83EE6A2">
      <w:start w:val="1"/>
      <w:numFmt w:val="lowerRoman"/>
      <w:lvlText w:val="%9"/>
      <w:lvlJc w:val="left"/>
      <w:pPr>
        <w:ind w:left="65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36E1538"/>
    <w:multiLevelType w:val="hybridMultilevel"/>
    <w:tmpl w:val="981277CE"/>
    <w:lvl w:ilvl="0" w:tplc="7C9CF390">
      <w:start w:val="1"/>
      <w:numFmt w:val="decimal"/>
      <w:lvlText w:val="%1."/>
      <w:lvlJc w:val="left"/>
      <w:pPr>
        <w:ind w:left="70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24A05BE">
      <w:start w:val="1"/>
      <w:numFmt w:val="lowerLetter"/>
      <w:lvlText w:val="%2"/>
      <w:lvlJc w:val="left"/>
      <w:pPr>
        <w:ind w:left="15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B358B740">
      <w:start w:val="1"/>
      <w:numFmt w:val="lowerRoman"/>
      <w:lvlText w:val="%3"/>
      <w:lvlJc w:val="left"/>
      <w:pPr>
        <w:ind w:left="22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A4AF82C">
      <w:start w:val="1"/>
      <w:numFmt w:val="decimal"/>
      <w:lvlText w:val="%4"/>
      <w:lvlJc w:val="left"/>
      <w:pPr>
        <w:ind w:left="29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C9E60D6">
      <w:start w:val="1"/>
      <w:numFmt w:val="lowerLetter"/>
      <w:lvlText w:val="%5"/>
      <w:lvlJc w:val="left"/>
      <w:pPr>
        <w:ind w:left="36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B2481CA">
      <w:start w:val="1"/>
      <w:numFmt w:val="lowerRoman"/>
      <w:lvlText w:val="%6"/>
      <w:lvlJc w:val="left"/>
      <w:pPr>
        <w:ind w:left="441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C5C82124">
      <w:start w:val="1"/>
      <w:numFmt w:val="decimal"/>
      <w:lvlText w:val="%7"/>
      <w:lvlJc w:val="left"/>
      <w:pPr>
        <w:ind w:left="51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E4C8DD2">
      <w:start w:val="1"/>
      <w:numFmt w:val="lowerLetter"/>
      <w:lvlText w:val="%8"/>
      <w:lvlJc w:val="left"/>
      <w:pPr>
        <w:ind w:left="58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47A27C40">
      <w:start w:val="1"/>
      <w:numFmt w:val="lowerRoman"/>
      <w:lvlText w:val="%9"/>
      <w:lvlJc w:val="left"/>
      <w:pPr>
        <w:ind w:left="65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979"/>
    <w:rsid w:val="00252F7D"/>
    <w:rsid w:val="002F5520"/>
    <w:rsid w:val="00732F37"/>
    <w:rsid w:val="00770979"/>
    <w:rsid w:val="00B22D8E"/>
    <w:rsid w:val="00F95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0B403"/>
  <w15:docId w15:val="{5F624996-3F5C-4573-9CA6-9D39BC39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Terra</cp:lastModifiedBy>
  <cp:revision>5</cp:revision>
  <dcterms:created xsi:type="dcterms:W3CDTF">2024-02-15T08:35:00Z</dcterms:created>
  <dcterms:modified xsi:type="dcterms:W3CDTF">2024-02-19T01:15:00Z</dcterms:modified>
</cp:coreProperties>
</file>