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0" w:type="dxa"/>
        <w:tblInd w:w="206" w:type="dxa"/>
        <w:tblLook w:val="04A0" w:firstRow="1" w:lastRow="0" w:firstColumn="1" w:lastColumn="0" w:noHBand="0" w:noVBand="1"/>
      </w:tblPr>
      <w:tblGrid>
        <w:gridCol w:w="570"/>
        <w:gridCol w:w="1123"/>
        <w:gridCol w:w="89"/>
        <w:gridCol w:w="89"/>
        <w:gridCol w:w="391"/>
        <w:gridCol w:w="589"/>
        <w:gridCol w:w="6539"/>
      </w:tblGrid>
      <w:tr w:rsidR="00B77F8F">
        <w:trPr>
          <w:trHeight w:val="9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B5069F" w:rsidRDefault="00B5069F"/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nil"/>
            </w:tcBorders>
          </w:tcPr>
          <w:p w:rsidR="00B5069F" w:rsidRDefault="006709AB">
            <w:r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   </w:t>
            </w:r>
            <w:r w:rsidR="00B77F8F">
              <w:rPr>
                <w:noProof/>
              </w:rPr>
              <w:drawing>
                <wp:inline distT="0" distB="0" distL="0" distR="0" wp14:anchorId="3C393B90" wp14:editId="7AAED7D4">
                  <wp:extent cx="710184" cy="710184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71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:rsidR="00B5069F" w:rsidRDefault="00B5069F"/>
        </w:tc>
        <w:tc>
          <w:tcPr>
            <w:tcW w:w="98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:rsidR="00B5069F" w:rsidRDefault="00B5069F"/>
        </w:tc>
        <w:tc>
          <w:tcPr>
            <w:tcW w:w="4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FFFFFF"/>
            </w:tcBorders>
          </w:tcPr>
          <w:p w:rsidR="00B5069F" w:rsidRDefault="006709AB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638" w:type="dxa"/>
            <w:gridSpan w:val="2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B5069F" w:rsidRDefault="00B77F8F">
            <w:pPr>
              <w:ind w:left="107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UNIVERSITY OF BANJA LUKA</w:t>
            </w:r>
            <w:r w:rsidR="006709AB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B5069F" w:rsidRDefault="006709AB">
            <w:pPr>
              <w:ind w:right="11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:rsidR="00B5069F" w:rsidRDefault="00B77F8F">
            <w:pPr>
              <w:spacing w:after="53"/>
              <w:ind w:left="134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FACULTY OF PHILOLOGY</w:t>
            </w:r>
            <w:r w:rsidR="006709AB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="006709AB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:rsidR="00B5069F" w:rsidRDefault="006709AB"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</w:tc>
      </w:tr>
      <w:tr w:rsidR="00B77F8F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B5069F" w:rsidRDefault="00B5069F"/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4" w:space="0" w:color="000000"/>
              <w:right w:val="nil"/>
            </w:tcBorders>
          </w:tcPr>
          <w:p w:rsidR="00B5069F" w:rsidRDefault="00B5069F"/>
        </w:tc>
        <w:tc>
          <w:tcPr>
            <w:tcW w:w="98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B5069F" w:rsidRDefault="00B5069F">
            <w:pPr>
              <w:ind w:left="-499" w:right="-521"/>
            </w:pPr>
          </w:p>
        </w:tc>
        <w:tc>
          <w:tcPr>
            <w:tcW w:w="98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B5069F" w:rsidRDefault="00B5069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FFFFFF"/>
            </w:tcBorders>
          </w:tcPr>
          <w:p w:rsidR="00B5069F" w:rsidRDefault="00B5069F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</w:tcPr>
          <w:p w:rsidR="00B5069F" w:rsidRDefault="00B5069F"/>
        </w:tc>
      </w:tr>
      <w:tr w:rsidR="00B77F8F">
        <w:trPr>
          <w:trHeight w:val="281"/>
        </w:trPr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69F" w:rsidRDefault="00B5069F"/>
        </w:tc>
        <w:tc>
          <w:tcPr>
            <w:tcW w:w="8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9F" w:rsidRDefault="00B77F8F">
            <w:pPr>
              <w:ind w:left="188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Graduate academic studies</w:t>
            </w:r>
            <w:r w:rsidR="006709AB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B77F8F">
        <w:trPr>
          <w:trHeight w:val="271"/>
        </w:trPr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69F" w:rsidRDefault="00B77F8F" w:rsidP="00B77F8F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Study program: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Pr>
              <w:ind w:left="-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5069F" w:rsidRDefault="00B77F8F">
            <w:pPr>
              <w:ind w:left="100"/>
            </w:pPr>
            <w:r w:rsidRPr="00B77F8F">
              <w:rPr>
                <w:rFonts w:ascii="Times New Roman" w:eastAsia="Times New Roman" w:hAnsi="Times New Roman" w:cs="Times New Roman"/>
                <w:b/>
                <w:sz w:val="23"/>
              </w:rPr>
              <w:t>French language and literature</w:t>
            </w:r>
          </w:p>
        </w:tc>
      </w:tr>
    </w:tbl>
    <w:p w:rsidR="00B5069F" w:rsidRDefault="006709AB">
      <w:pPr>
        <w:spacing w:after="0"/>
        <w:ind w:left="312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tbl>
      <w:tblPr>
        <w:tblStyle w:val="TableGrid"/>
        <w:tblW w:w="9386" w:type="dxa"/>
        <w:tblInd w:w="210" w:type="dxa"/>
        <w:tblCellMar>
          <w:top w:w="47" w:type="dxa"/>
          <w:left w:w="102" w:type="dxa"/>
          <w:right w:w="90" w:type="dxa"/>
        </w:tblCellMar>
        <w:tblLook w:val="04A0" w:firstRow="1" w:lastRow="0" w:firstColumn="1" w:lastColumn="0" w:noHBand="0" w:noVBand="1"/>
      </w:tblPr>
      <w:tblGrid>
        <w:gridCol w:w="1796"/>
        <w:gridCol w:w="1800"/>
        <w:gridCol w:w="1589"/>
        <w:gridCol w:w="1574"/>
        <w:gridCol w:w="2627"/>
      </w:tblGrid>
      <w:tr w:rsidR="00B5069F">
        <w:trPr>
          <w:trHeight w:val="24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B77F8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Subject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5069F" w:rsidRDefault="00B77F8F">
            <w:pPr>
              <w:ind w:left="4"/>
            </w:pPr>
            <w:r w:rsidRPr="00B77F8F">
              <w:rPr>
                <w:rFonts w:ascii="Times New Roman" w:eastAsia="Times New Roman" w:hAnsi="Times New Roman" w:cs="Times New Roman"/>
                <w:b/>
                <w:sz w:val="21"/>
              </w:rPr>
              <w:t xml:space="preserve">Historiography, biography and autobiography in the work of </w:t>
            </w:r>
            <w:proofErr w:type="spellStart"/>
            <w:r w:rsidRPr="00B77F8F">
              <w:rPr>
                <w:rFonts w:ascii="Times New Roman" w:eastAsia="Times New Roman" w:hAnsi="Times New Roman" w:cs="Times New Roman"/>
                <w:b/>
                <w:sz w:val="21"/>
              </w:rPr>
              <w:t>Margerit</w:t>
            </w:r>
            <w:proofErr w:type="spellEnd"/>
            <w:r w:rsidRPr="00B77F8F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B77F8F">
              <w:rPr>
                <w:rFonts w:ascii="Times New Roman" w:eastAsia="Times New Roman" w:hAnsi="Times New Roman" w:cs="Times New Roman"/>
                <w:b/>
                <w:sz w:val="21"/>
              </w:rPr>
              <w:t>Jursenar</w:t>
            </w:r>
            <w:proofErr w:type="spellEnd"/>
          </w:p>
        </w:tc>
      </w:tr>
      <w:tr w:rsidR="00B5069F">
        <w:trPr>
          <w:trHeight w:val="50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B77F8F">
            <w:r>
              <w:rPr>
                <w:rFonts w:ascii="Times New Roman" w:eastAsia="Times New Roman" w:hAnsi="Times New Roman" w:cs="Times New Roman"/>
                <w:b/>
                <w:sz w:val="21"/>
              </w:rPr>
              <w:t>Subject code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B77F8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Subject status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9F" w:rsidRDefault="00B77F8F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Semester</w:t>
            </w:r>
            <w:r w:rsidR="006709A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9F" w:rsidRDefault="00B77F8F" w:rsidP="00B77F8F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Classes fund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9F" w:rsidRDefault="00B77F8F" w:rsidP="00B77F8F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Number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ECTS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points</w:t>
            </w:r>
          </w:p>
        </w:tc>
      </w:tr>
      <w:tr w:rsidR="00B5069F">
        <w:trPr>
          <w:trHeight w:val="26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B5069F">
        <w:trPr>
          <w:trHeight w:val="24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5069F" w:rsidRDefault="00B77F8F">
            <w:r>
              <w:rPr>
                <w:rFonts w:ascii="Times New Roman" w:eastAsia="Times New Roman" w:hAnsi="Times New Roman" w:cs="Times New Roman"/>
                <w:b/>
                <w:sz w:val="21"/>
              </w:rPr>
              <w:t>Professors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B77F8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Radana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Lukajić</w:t>
            </w:r>
            <w:proofErr w:type="spellEnd"/>
          </w:p>
        </w:tc>
      </w:tr>
    </w:tbl>
    <w:p w:rsidR="00B5069F" w:rsidRDefault="006709AB">
      <w:pPr>
        <w:spacing w:after="0"/>
        <w:ind w:left="312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386" w:type="dxa"/>
        <w:tblInd w:w="210" w:type="dxa"/>
        <w:tblCellMar>
          <w:top w:w="4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1094"/>
        <w:gridCol w:w="1930"/>
        <w:gridCol w:w="1051"/>
        <w:gridCol w:w="1925"/>
        <w:gridCol w:w="875"/>
      </w:tblGrid>
      <w:tr w:rsidR="00B5069F">
        <w:trPr>
          <w:trHeight w:val="255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3B3B3"/>
          </w:tcPr>
          <w:p w:rsidR="00B5069F" w:rsidRDefault="00B77F8F">
            <w:r>
              <w:rPr>
                <w:rFonts w:ascii="Times New Roman" w:eastAsia="Times New Roman" w:hAnsi="Times New Roman" w:cs="Times New Roman"/>
                <w:b/>
                <w:sz w:val="21"/>
              </w:rPr>
              <w:t>Conditioned by</w:t>
            </w:r>
            <w:r w:rsidR="00A676E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other subjects</w:t>
            </w:r>
          </w:p>
        </w:tc>
      </w:tr>
      <w:tr w:rsidR="00B5069F">
        <w:trPr>
          <w:trHeight w:val="259"/>
        </w:trPr>
        <w:tc>
          <w:tcPr>
            <w:tcW w:w="9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B5069F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5069F" w:rsidRDefault="00A676E8">
            <w:r w:rsidRPr="00A676E8">
              <w:rPr>
                <w:rFonts w:ascii="Times New Roman" w:eastAsia="Times New Roman" w:hAnsi="Times New Roman" w:cs="Times New Roman"/>
                <w:b/>
                <w:sz w:val="21"/>
              </w:rPr>
              <w:t>Objectives of studying the subject:</w:t>
            </w:r>
          </w:p>
        </w:tc>
      </w:tr>
      <w:tr w:rsidR="00B5069F">
        <w:trPr>
          <w:trHeight w:val="99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A676E8">
            <w:r w:rsidRPr="00A676E8">
              <w:rPr>
                <w:rFonts w:ascii="Times New Roman" w:eastAsia="Times New Roman" w:hAnsi="Times New Roman" w:cs="Times New Roman"/>
                <w:sz w:val="21"/>
              </w:rPr>
              <w:t xml:space="preserve">Study of the relationship between historiography, biography and autobiography in the novels and essays of </w:t>
            </w:r>
            <w:proofErr w:type="spellStart"/>
            <w:r w:rsidRPr="00A676E8">
              <w:rPr>
                <w:rFonts w:ascii="Times New Roman" w:eastAsia="Times New Roman" w:hAnsi="Times New Roman" w:cs="Times New Roman"/>
                <w:sz w:val="21"/>
              </w:rPr>
              <w:t>Megerit</w:t>
            </w:r>
            <w:proofErr w:type="spellEnd"/>
            <w:r w:rsidRPr="00A676E8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A676E8">
              <w:rPr>
                <w:rFonts w:ascii="Times New Roman" w:eastAsia="Times New Roman" w:hAnsi="Times New Roman" w:cs="Times New Roman"/>
                <w:sz w:val="21"/>
              </w:rPr>
              <w:t>Jursenar</w:t>
            </w:r>
            <w:proofErr w:type="spellEnd"/>
            <w:r w:rsidRPr="00A676E8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</w:tr>
      <w:tr w:rsidR="00B5069F">
        <w:trPr>
          <w:trHeight w:val="250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5069F" w:rsidRDefault="00A676E8">
            <w:r>
              <w:rPr>
                <w:rFonts w:ascii="Times New Roman" w:eastAsia="Times New Roman" w:hAnsi="Times New Roman" w:cs="Times New Roman"/>
                <w:b/>
                <w:sz w:val="21"/>
              </w:rPr>
              <w:t>Learning outcomes (acquired knowledge):</w:t>
            </w:r>
          </w:p>
        </w:tc>
      </w:tr>
      <w:tr w:rsidR="00B5069F">
        <w:trPr>
          <w:trHeight w:val="1740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A1D04" w:rsidP="00A676E8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After completing the module,</w:t>
            </w:r>
            <w:r w:rsidR="00A676E8" w:rsidRPr="00A676E8">
              <w:rPr>
                <w:rFonts w:ascii="Times New Roman" w:eastAsia="Times New Roman" w:hAnsi="Times New Roman" w:cs="Times New Roman"/>
                <w:sz w:val="21"/>
              </w:rPr>
              <w:t xml:space="preserve"> students will gain insight into the polymorphism of </w:t>
            </w:r>
            <w:proofErr w:type="spellStart"/>
            <w:r w:rsidR="00A676E8" w:rsidRPr="00A676E8">
              <w:rPr>
                <w:rFonts w:ascii="Times New Roman" w:eastAsia="Times New Roman" w:hAnsi="Times New Roman" w:cs="Times New Roman"/>
                <w:sz w:val="21"/>
              </w:rPr>
              <w:t>Margerit</w:t>
            </w:r>
            <w:proofErr w:type="spellEnd"/>
            <w:r w:rsidR="00A676E8" w:rsidRPr="00A676E8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="00A676E8" w:rsidRPr="00A676E8">
              <w:rPr>
                <w:rFonts w:ascii="Times New Roman" w:eastAsia="Times New Roman" w:hAnsi="Times New Roman" w:cs="Times New Roman"/>
                <w:sz w:val="21"/>
              </w:rPr>
              <w:t>Jursenar's</w:t>
            </w:r>
            <w:proofErr w:type="spellEnd"/>
            <w:r w:rsidR="00A676E8" w:rsidRPr="00A676E8">
              <w:rPr>
                <w:rFonts w:ascii="Times New Roman" w:eastAsia="Times New Roman" w:hAnsi="Times New Roman" w:cs="Times New Roman"/>
                <w:sz w:val="21"/>
              </w:rPr>
              <w:t xml:space="preserve"> work, its hybrid form and the impossibility of a clear genre definition of it, as well as a theoretical framework about historiography in literary works, and about biographical and autobiographical discourse and its interference with historiographical material through the analysis of novelistic and of the writer's essay opus.</w:t>
            </w:r>
            <w:proofErr w:type="gramEnd"/>
          </w:p>
        </w:tc>
      </w:tr>
      <w:tr w:rsidR="00B5069F">
        <w:trPr>
          <w:trHeight w:val="25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5069F" w:rsidRDefault="00A676E8" w:rsidP="00A676E8">
            <w:r>
              <w:rPr>
                <w:rFonts w:ascii="Times New Roman" w:eastAsia="Times New Roman" w:hAnsi="Times New Roman" w:cs="Times New Roman"/>
                <w:b/>
                <w:sz w:val="21"/>
              </w:rPr>
              <w:t>Subject content:</w:t>
            </w:r>
            <w:r w:rsidR="006709AB">
              <w:rPr>
                <w:rFonts w:ascii="Times New Roman" w:eastAsia="Times New Roman" w:hAnsi="Times New Roman" w:cs="Times New Roman"/>
                <w:b/>
                <w:sz w:val="21"/>
              </w:rPr>
              <w:t xml:space="preserve">: </w:t>
            </w:r>
          </w:p>
        </w:tc>
      </w:tr>
      <w:tr w:rsidR="00B5069F">
        <w:trPr>
          <w:trHeight w:val="247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8" w:rsidRPr="00A676E8" w:rsidRDefault="00A676E8" w:rsidP="00A676E8">
            <w:pPr>
              <w:spacing w:line="238" w:lineRule="auto"/>
              <w:ind w:right="54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The relation</w:t>
            </w:r>
            <w:r w:rsidRPr="00A676E8">
              <w:rPr>
                <w:rFonts w:ascii="Times New Roman" w:eastAsia="Times New Roman" w:hAnsi="Times New Roman" w:cs="Times New Roman"/>
                <w:sz w:val="21"/>
              </w:rPr>
              <w:t xml:space="preserve"> between historiograp</w:t>
            </w:r>
            <w:r>
              <w:rPr>
                <w:rFonts w:ascii="Times New Roman" w:eastAsia="Times New Roman" w:hAnsi="Times New Roman" w:cs="Times New Roman"/>
                <w:sz w:val="21"/>
              </w:rPr>
              <w:t>hy and fiction. The relation</w:t>
            </w:r>
            <w:r w:rsidRPr="00A676E8">
              <w:rPr>
                <w:rFonts w:ascii="Times New Roman" w:eastAsia="Times New Roman" w:hAnsi="Times New Roman" w:cs="Times New Roman"/>
                <w:sz w:val="21"/>
              </w:rPr>
              <w:t xml:space="preserve"> between biography and fiction. Fictionalization of autobiographical discourse. Genre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definition and problem</w:t>
            </w:r>
            <w:r w:rsidRPr="00A676E8">
              <w:rPr>
                <w:rFonts w:ascii="Times New Roman" w:eastAsia="Times New Roman" w:hAnsi="Times New Roman" w:cs="Times New Roman"/>
                <w:sz w:val="21"/>
              </w:rPr>
              <w:t xml:space="preserve"> of the "historical novel" category. Archive material and its function in the historical novel. The configuration of time in historical material: the rel</w:t>
            </w:r>
            <w:r>
              <w:rPr>
                <w:rFonts w:ascii="Times New Roman" w:eastAsia="Times New Roman" w:hAnsi="Times New Roman" w:cs="Times New Roman"/>
                <w:sz w:val="21"/>
              </w:rPr>
              <w:t>ation</w:t>
            </w:r>
            <w:r w:rsidRPr="00A676E8">
              <w:rPr>
                <w:rFonts w:ascii="Times New Roman" w:eastAsia="Times New Roman" w:hAnsi="Times New Roman" w:cs="Times New Roman"/>
                <w:sz w:val="21"/>
              </w:rPr>
              <w:t xml:space="preserve"> between fiction and history. The impossibility of a rigid genre categorization of the literary works of M. </w:t>
            </w:r>
            <w:proofErr w:type="spellStart"/>
            <w:r w:rsidRPr="00A676E8">
              <w:rPr>
                <w:rFonts w:ascii="Times New Roman" w:eastAsia="Times New Roman" w:hAnsi="Times New Roman" w:cs="Times New Roman"/>
                <w:sz w:val="21"/>
              </w:rPr>
              <w:t>Jursenar</w:t>
            </w:r>
            <w:proofErr w:type="spellEnd"/>
            <w:r w:rsidRPr="00A676E8">
              <w:rPr>
                <w:rFonts w:ascii="Times New Roman" w:eastAsia="Times New Roman" w:hAnsi="Times New Roman" w:cs="Times New Roman"/>
                <w:sz w:val="21"/>
              </w:rPr>
              <w:t xml:space="preserve">. Conception of history in the work of M. </w:t>
            </w:r>
            <w:proofErr w:type="spellStart"/>
            <w:r w:rsidRPr="00A676E8">
              <w:rPr>
                <w:rFonts w:ascii="Times New Roman" w:eastAsia="Times New Roman" w:hAnsi="Times New Roman" w:cs="Times New Roman"/>
                <w:sz w:val="21"/>
              </w:rPr>
              <w:t>Jursenar</w:t>
            </w:r>
            <w:proofErr w:type="spellEnd"/>
            <w:r w:rsidRPr="00A676E8">
              <w:rPr>
                <w:rFonts w:ascii="Times New Roman" w:eastAsia="Times New Roman" w:hAnsi="Times New Roman" w:cs="Times New Roman"/>
                <w:sz w:val="21"/>
              </w:rPr>
              <w:t>. Mythical time. The construction of characters and their archetypal dimension. Autobiography as an "impossible genre".</w:t>
            </w:r>
          </w:p>
          <w:p w:rsidR="00A676E8" w:rsidRPr="00A676E8" w:rsidRDefault="00A676E8" w:rsidP="00A676E8">
            <w:pPr>
              <w:spacing w:line="238" w:lineRule="auto"/>
              <w:ind w:right="54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A676E8">
              <w:rPr>
                <w:rFonts w:ascii="Times New Roman" w:eastAsia="Times New Roman" w:hAnsi="Times New Roman" w:cs="Times New Roman"/>
                <w:sz w:val="21"/>
              </w:rPr>
              <w:t>Identity and identity search. Labyrinth of the world - autobiography as hetero</w:t>
            </w: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  <w:r w:rsidRPr="00A676E8">
              <w:rPr>
                <w:rFonts w:ascii="Times New Roman" w:eastAsia="Times New Roman" w:hAnsi="Times New Roman" w:cs="Times New Roman"/>
                <w:sz w:val="21"/>
              </w:rPr>
              <w:t>biography. Self-citation. Paratext as a form of autobiographical discourse.</w:t>
            </w:r>
          </w:p>
          <w:p w:rsidR="00B5069F" w:rsidRDefault="00A676E8" w:rsidP="00A676E8">
            <w:r w:rsidRPr="00A676E8">
              <w:rPr>
                <w:rFonts w:ascii="Times New Roman" w:eastAsia="Times New Roman" w:hAnsi="Times New Roman" w:cs="Times New Roman"/>
                <w:sz w:val="21"/>
              </w:rPr>
              <w:t>​</w:t>
            </w:r>
          </w:p>
        </w:tc>
      </w:tr>
      <w:tr w:rsidR="00B5069F">
        <w:trPr>
          <w:trHeight w:val="255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3B3B3"/>
          </w:tcPr>
          <w:p w:rsidR="00B5069F" w:rsidRDefault="00A676E8">
            <w:r w:rsidRPr="00A676E8">
              <w:rPr>
                <w:rFonts w:ascii="Times New Roman" w:eastAsia="Times New Roman" w:hAnsi="Times New Roman" w:cs="Times New Roman"/>
                <w:b/>
                <w:sz w:val="21"/>
              </w:rPr>
              <w:t>Methods of teaching and mastering the material:</w:t>
            </w:r>
          </w:p>
        </w:tc>
      </w:tr>
      <w:tr w:rsidR="00B5069F">
        <w:trPr>
          <w:trHeight w:val="259"/>
        </w:trPr>
        <w:tc>
          <w:tcPr>
            <w:tcW w:w="9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A676E8">
            <w:r w:rsidRPr="00A676E8">
              <w:rPr>
                <w:rFonts w:ascii="Times New Roman" w:eastAsia="Times New Roman" w:hAnsi="Times New Roman" w:cs="Times New Roman"/>
                <w:sz w:val="21"/>
              </w:rPr>
              <w:t>Lectures, practical work (seminars, text processing).</w:t>
            </w:r>
          </w:p>
        </w:tc>
      </w:tr>
      <w:tr w:rsidR="00B5069F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5069F" w:rsidRDefault="00A676E8">
            <w:r>
              <w:rPr>
                <w:rFonts w:ascii="Times New Roman" w:eastAsia="Times New Roman" w:hAnsi="Times New Roman" w:cs="Times New Roman"/>
                <w:b/>
                <w:sz w:val="21"/>
              </w:rPr>
              <w:t>Literature:</w:t>
            </w:r>
          </w:p>
        </w:tc>
      </w:tr>
      <w:tr w:rsidR="00B5069F">
        <w:trPr>
          <w:trHeight w:val="173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Yourcenar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Œuvres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romanesques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Paris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Gallimard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1982 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Yourcenar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Essais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mémoires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 : </w:t>
            </w:r>
          </w:p>
          <w:p w:rsidR="00B5069F" w:rsidRDefault="006709AB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Gallimard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1991 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Yourcenar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Correspondance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B5069F" w:rsidRDefault="006709AB">
            <w:pPr>
              <w:spacing w:line="236" w:lineRule="auto"/>
              <w:ind w:right="133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Beajour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Michel.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Miroirs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d’encre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Rhétorique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l’autoportrait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Paris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1980 Forest, Philippe.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Le roman, 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réel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autres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essais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Nantes: Ed. Cécile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Defaut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2007. </w:t>
            </w:r>
          </w:p>
          <w:p w:rsidR="00B5069F" w:rsidRDefault="006709AB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Genette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Gérard.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Discours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récit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méthode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2004. </w:t>
            </w:r>
          </w:p>
          <w:p w:rsidR="00B5069F" w:rsidRDefault="006709AB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Genette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Gérard.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Fiction et diction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1982. </w:t>
            </w:r>
          </w:p>
          <w:p w:rsidR="00B5069F" w:rsidRDefault="006709AB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Gusdorf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Georges.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Auto-bio-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graphie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Lignes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vie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2. Paris: Ed. Odile Jacob, 1991. </w:t>
            </w:r>
          </w:p>
        </w:tc>
      </w:tr>
      <w:tr w:rsidR="00B5069F">
        <w:trPr>
          <w:trHeight w:val="4688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Lecarme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Jacques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L’autobiographie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Armand Colin, 1999.  </w:t>
            </w:r>
          </w:p>
          <w:p w:rsidR="00B5069F" w:rsidRDefault="006709A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Lejeune, Philippe.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pacte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autobiographique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Seul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1975. </w:t>
            </w:r>
          </w:p>
          <w:p w:rsidR="00B5069F" w:rsidRDefault="006709A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Lejuene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Philippe.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Je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autre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1980. </w:t>
            </w:r>
          </w:p>
          <w:p w:rsidR="00B5069F" w:rsidRDefault="006709AB">
            <w:pPr>
              <w:spacing w:after="5" w:line="236" w:lineRule="auto"/>
              <w:ind w:left="1" w:right="625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Miraux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Jean-Philippe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L’autobiographie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Ecriture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soi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sincérité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Nathan, 1996.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Rousset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Jean.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Narcisse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romancier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Corti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1973. </w:t>
            </w:r>
          </w:p>
          <w:p w:rsidR="00B5069F" w:rsidRDefault="006709AB">
            <w:pPr>
              <w:spacing w:after="10" w:line="231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Soler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Patrice.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Genres,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formes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>, tons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PUFBeajour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Michel.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Miroirs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d’encre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Rhétorique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l’autoportrait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 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1980 </w:t>
            </w:r>
          </w:p>
          <w:p w:rsidR="00B5069F" w:rsidRDefault="006709A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Forest, Philippe.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Le roman, 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réel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autres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essais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Nantes: Ed. Cécile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Defaut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2007. </w:t>
            </w:r>
          </w:p>
          <w:p w:rsidR="00B5069F" w:rsidRDefault="006709A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Genette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Gérard.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Discours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récit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méthode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2004. </w:t>
            </w:r>
          </w:p>
          <w:p w:rsidR="00B5069F" w:rsidRDefault="006709A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Genette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Gérard.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Fiction et diction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1982. </w:t>
            </w:r>
          </w:p>
          <w:p w:rsidR="00B5069F" w:rsidRDefault="006709A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Gusdorf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Georges.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Auto-bio-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graphie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Lignes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vie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2. Paris: Ed. Odile Jacob, 1991. </w:t>
            </w:r>
          </w:p>
          <w:p w:rsidR="00B5069F" w:rsidRDefault="006709A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Lecarme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Jacques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L’autobiographie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Armand Colin, 1999.  </w:t>
            </w:r>
          </w:p>
          <w:p w:rsidR="00B5069F" w:rsidRDefault="006709A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Lejeune, Philippe.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pacte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autobiographique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Seul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1975. </w:t>
            </w:r>
          </w:p>
          <w:p w:rsidR="00B5069F" w:rsidRDefault="006709A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Lejuene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Philippe.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Je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autre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1980. </w:t>
            </w:r>
          </w:p>
          <w:p w:rsidR="00B5069F" w:rsidRDefault="006709A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Miraux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Jean-Philippe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L’autobiographie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Ecriture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soi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sincérité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Nathan, 1996. </w:t>
            </w:r>
          </w:p>
          <w:p w:rsidR="00B5069F" w:rsidRDefault="006709A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Ricoeur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Paul.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Temps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récit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>. 3 tomes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1983, 1984, 1985. </w:t>
            </w:r>
          </w:p>
          <w:p w:rsidR="00B5069F" w:rsidRDefault="006709AB">
            <w:pPr>
              <w:spacing w:line="241" w:lineRule="auto"/>
              <w:ind w:left="1" w:right="3552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Rousset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Jean.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Narcisse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romancier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Corti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1973.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Soler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Patrice.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Genres,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formes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>, tons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PUF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B5069F" w:rsidRDefault="006709A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B5069F">
        <w:trPr>
          <w:trHeight w:val="25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5069F" w:rsidRDefault="00A676E8">
            <w:pPr>
              <w:ind w:left="1"/>
            </w:pPr>
            <w:r w:rsidRPr="00A676E8">
              <w:rPr>
                <w:rFonts w:ascii="Times New Roman" w:eastAsia="Times New Roman" w:hAnsi="Times New Roman" w:cs="Times New Roman"/>
                <w:b/>
                <w:sz w:val="21"/>
              </w:rPr>
              <w:t>Forms of knowledge testing and assessment:</w:t>
            </w:r>
          </w:p>
        </w:tc>
      </w:tr>
      <w:tr w:rsidR="00B5069F">
        <w:trPr>
          <w:trHeight w:val="256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B5069F">
        <w:trPr>
          <w:trHeight w:val="25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5069F">
        <w:trPr>
          <w:trHeight w:val="25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9F" w:rsidRDefault="006709AB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B5069F">
        <w:trPr>
          <w:trHeight w:val="25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5069F" w:rsidRDefault="00A676E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Special indication for the subject:</w:t>
            </w:r>
          </w:p>
        </w:tc>
      </w:tr>
      <w:tr w:rsidR="00B5069F">
        <w:trPr>
          <w:trHeight w:val="259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069F" w:rsidRDefault="006709A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B5069F">
        <w:trPr>
          <w:trHeight w:val="255"/>
        </w:trPr>
        <w:tc>
          <w:tcPr>
            <w:tcW w:w="9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5069F" w:rsidRDefault="00A676E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Name and surname of the professor</w:t>
            </w:r>
            <w:r w:rsidRPr="00A676E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who prepared the data: Prof. Dr. </w:t>
            </w:r>
            <w:proofErr w:type="spellStart"/>
            <w:r w:rsidRPr="00A676E8">
              <w:rPr>
                <w:rFonts w:ascii="Times New Roman" w:eastAsia="Times New Roman" w:hAnsi="Times New Roman" w:cs="Times New Roman"/>
                <w:b/>
                <w:sz w:val="21"/>
              </w:rPr>
              <w:t>Radana</w:t>
            </w:r>
            <w:proofErr w:type="spellEnd"/>
            <w:r w:rsidRPr="00A676E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A676E8">
              <w:rPr>
                <w:rFonts w:ascii="Times New Roman" w:eastAsia="Times New Roman" w:hAnsi="Times New Roman" w:cs="Times New Roman"/>
                <w:b/>
                <w:sz w:val="21"/>
              </w:rPr>
              <w:t>Lukajić</w:t>
            </w:r>
            <w:proofErr w:type="spellEnd"/>
          </w:p>
        </w:tc>
      </w:tr>
    </w:tbl>
    <w:p w:rsidR="00B5069F" w:rsidRDefault="006709AB">
      <w:pPr>
        <w:spacing w:after="107"/>
        <w:ind w:left="312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B5069F" w:rsidRDefault="006709AB">
      <w:pPr>
        <w:spacing w:after="0"/>
        <w:ind w:left="312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bookmarkStart w:id="0" w:name="_GoBack"/>
      <w:bookmarkEnd w:id="0"/>
    </w:p>
    <w:sectPr w:rsidR="00B5069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9F"/>
    <w:rsid w:val="006709AB"/>
    <w:rsid w:val="006A1D04"/>
    <w:rsid w:val="00980DE1"/>
    <w:rsid w:val="00A676E8"/>
    <w:rsid w:val="00B5069F"/>
    <w:rsid w:val="00B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0417"/>
  <w15:docId w15:val="{2A27CC6B-1C29-43AB-BBBA-3EE06675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8225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2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Terra</cp:lastModifiedBy>
  <cp:revision>5</cp:revision>
  <dcterms:created xsi:type="dcterms:W3CDTF">2024-02-15T08:30:00Z</dcterms:created>
  <dcterms:modified xsi:type="dcterms:W3CDTF">2024-02-19T01:11:00Z</dcterms:modified>
</cp:coreProperties>
</file>