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0" w:type="dxa"/>
        <w:tblInd w:w="206" w:type="dxa"/>
        <w:tblLook w:val="04A0" w:firstRow="1" w:lastRow="0" w:firstColumn="1" w:lastColumn="0" w:noHBand="0" w:noVBand="1"/>
      </w:tblPr>
      <w:tblGrid>
        <w:gridCol w:w="1126"/>
        <w:gridCol w:w="454"/>
        <w:gridCol w:w="92"/>
        <w:gridCol w:w="93"/>
        <w:gridCol w:w="398"/>
        <w:gridCol w:w="599"/>
        <w:gridCol w:w="6628"/>
      </w:tblGrid>
      <w:tr w:rsidR="0018080C">
        <w:trPr>
          <w:trHeight w:val="9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5A35C7" w:rsidRDefault="0018080C">
            <w:r>
              <w:rPr>
                <w:noProof/>
              </w:rPr>
              <w:drawing>
                <wp:inline distT="0" distB="0" distL="0" distR="0" wp14:anchorId="115BD8D2" wp14:editId="0B99AE09">
                  <wp:extent cx="710184" cy="710184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7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nil"/>
            </w:tcBorders>
          </w:tcPr>
          <w:p w:rsidR="005A35C7" w:rsidRDefault="00FA00B3">
            <w:r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 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:rsidR="005A35C7" w:rsidRDefault="005A35C7"/>
        </w:tc>
        <w:tc>
          <w:tcPr>
            <w:tcW w:w="98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:rsidR="005A35C7" w:rsidRDefault="005A35C7"/>
        </w:tc>
        <w:tc>
          <w:tcPr>
            <w:tcW w:w="4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:rsidR="005A35C7" w:rsidRDefault="00FA00B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638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5A35C7" w:rsidRDefault="0018080C" w:rsidP="0018080C">
            <w:pPr>
              <w:ind w:left="122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UNIVERSITY OF BANJA LUKA</w:t>
            </w:r>
            <w:r w:rsidR="00FA00B3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5A35C7" w:rsidRDefault="0018080C">
            <w:pPr>
              <w:spacing w:after="91"/>
              <w:ind w:left="1478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FACULTY OF PHILOLOGY</w:t>
            </w:r>
            <w:r w:rsidR="00FA00B3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5A35C7" w:rsidRDefault="00FA00B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18080C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5A35C7" w:rsidRDefault="005A35C7"/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4" w:space="0" w:color="000000"/>
              <w:right w:val="nil"/>
            </w:tcBorders>
          </w:tcPr>
          <w:p w:rsidR="005A35C7" w:rsidRDefault="005A35C7"/>
        </w:tc>
        <w:tc>
          <w:tcPr>
            <w:tcW w:w="197" w:type="dxa"/>
            <w:gridSpan w:val="2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5A35C7" w:rsidRDefault="005A35C7">
            <w:pPr>
              <w:ind w:left="-499" w:right="-422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:rsidR="005A35C7" w:rsidRDefault="005A35C7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:rsidR="005A35C7" w:rsidRDefault="005A35C7"/>
        </w:tc>
      </w:tr>
      <w:tr w:rsidR="0018080C">
        <w:trPr>
          <w:trHeight w:val="257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5C7" w:rsidRDefault="005A35C7"/>
        </w:tc>
        <w:tc>
          <w:tcPr>
            <w:tcW w:w="82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5C7" w:rsidRDefault="0018080C" w:rsidP="0018080C">
            <w:pPr>
              <w:ind w:left="2674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Doctoral studies</w:t>
            </w:r>
            <w:r w:rsidR="00FA00B3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18080C">
        <w:trPr>
          <w:trHeight w:val="257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5C7" w:rsidRDefault="0018080C" w:rsidP="0018080C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Study program</w:t>
            </w: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18080C" w:rsidP="0018080C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Serbian language and literature</w:t>
            </w:r>
          </w:p>
        </w:tc>
      </w:tr>
    </w:tbl>
    <w:p w:rsidR="005A35C7" w:rsidRDefault="00FA00B3">
      <w:pPr>
        <w:spacing w:after="0"/>
        <w:ind w:left="31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386" w:type="dxa"/>
        <w:tblInd w:w="210" w:type="dxa"/>
        <w:tblCellMar>
          <w:top w:w="48" w:type="dxa"/>
          <w:left w:w="102" w:type="dxa"/>
          <w:right w:w="90" w:type="dxa"/>
        </w:tblCellMar>
        <w:tblLook w:val="04A0" w:firstRow="1" w:lastRow="0" w:firstColumn="1" w:lastColumn="0" w:noHBand="0" w:noVBand="1"/>
      </w:tblPr>
      <w:tblGrid>
        <w:gridCol w:w="1796"/>
        <w:gridCol w:w="1800"/>
        <w:gridCol w:w="1589"/>
        <w:gridCol w:w="1574"/>
        <w:gridCol w:w="2627"/>
      </w:tblGrid>
      <w:tr w:rsidR="0018080C">
        <w:trPr>
          <w:trHeight w:val="25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0C" w:rsidRPr="0018080C" w:rsidRDefault="0018080C" w:rsidP="0018080C">
            <w:pPr>
              <w:jc w:val="both"/>
              <w:rPr>
                <w:b/>
              </w:rPr>
            </w:pPr>
            <w:r w:rsidRPr="0018080C">
              <w:rPr>
                <w:b/>
              </w:rPr>
              <w:t>Subject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</w:tcPr>
          <w:p w:rsidR="0018080C" w:rsidRDefault="0018080C" w:rsidP="0018080C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Genesis and development of Dubrovnik’s epics.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8080C" w:rsidRDefault="0018080C" w:rsidP="0018080C"/>
        </w:tc>
      </w:tr>
      <w:tr w:rsidR="005A35C7">
        <w:trPr>
          <w:trHeight w:val="50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18080C"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code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18080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status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C7" w:rsidRDefault="0018080C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Semester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C7" w:rsidRDefault="0018080C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Classes fund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C7" w:rsidRDefault="0018080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Number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</w:rPr>
              <w:t>ECTS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credits</w:t>
            </w:r>
          </w:p>
        </w:tc>
      </w:tr>
      <w:tr w:rsidR="005A35C7">
        <w:trPr>
          <w:trHeight w:val="253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18080C" w:rsidP="0018080C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elective</w:t>
            </w:r>
            <w:r w:rsidR="00FA00B3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A35C7">
        <w:trPr>
          <w:trHeight w:val="25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18080C">
            <w:r>
              <w:rPr>
                <w:rFonts w:ascii="Times New Roman" w:eastAsia="Times New Roman" w:hAnsi="Times New Roman" w:cs="Times New Roman"/>
                <w:b/>
                <w:sz w:val="21"/>
              </w:rPr>
              <w:t>Professors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5C7" w:rsidRDefault="0018080C">
            <w:pPr>
              <w:ind w:left="4"/>
            </w:pPr>
            <w:r w:rsidRPr="0018080C">
              <w:rPr>
                <w:rFonts w:ascii="Times New Roman" w:eastAsia="Times New Roman" w:hAnsi="Times New Roman" w:cs="Times New Roman"/>
                <w:sz w:val="21"/>
              </w:rPr>
              <w:t xml:space="preserve">Prof. Dr. Mirjana </w:t>
            </w:r>
            <w:proofErr w:type="spellStart"/>
            <w:r w:rsidRPr="0018080C">
              <w:rPr>
                <w:rFonts w:ascii="Times New Roman" w:eastAsia="Times New Roman" w:hAnsi="Times New Roman" w:cs="Times New Roman"/>
                <w:sz w:val="21"/>
              </w:rPr>
              <w:t>Arežina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35C7" w:rsidRDefault="005A35C7"/>
        </w:tc>
      </w:tr>
    </w:tbl>
    <w:p w:rsidR="005A35C7" w:rsidRDefault="00FA00B3">
      <w:pPr>
        <w:spacing w:after="0"/>
        <w:ind w:left="31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386" w:type="dxa"/>
        <w:tblInd w:w="210" w:type="dxa"/>
        <w:tblCellMar>
          <w:top w:w="43" w:type="dxa"/>
          <w:left w:w="102" w:type="dxa"/>
          <w:right w:w="48" w:type="dxa"/>
        </w:tblCellMar>
        <w:tblLook w:val="04A0" w:firstRow="1" w:lastRow="0" w:firstColumn="1" w:lastColumn="0" w:noHBand="0" w:noVBand="1"/>
      </w:tblPr>
      <w:tblGrid>
        <w:gridCol w:w="2497"/>
        <w:gridCol w:w="1094"/>
        <w:gridCol w:w="1920"/>
        <w:gridCol w:w="1051"/>
        <w:gridCol w:w="1915"/>
        <w:gridCol w:w="909"/>
      </w:tblGrid>
      <w:tr w:rsidR="005A35C7">
        <w:trPr>
          <w:trHeight w:val="255"/>
        </w:trPr>
        <w:tc>
          <w:tcPr>
            <w:tcW w:w="93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1071E8">
            <w:r>
              <w:rPr>
                <w:rFonts w:ascii="Times New Roman" w:eastAsia="Times New Roman" w:hAnsi="Times New Roman" w:cs="Times New Roman"/>
                <w:b/>
                <w:sz w:val="21"/>
              </w:rPr>
              <w:t>Conditioned by other subjects.</w:t>
            </w:r>
          </w:p>
        </w:tc>
      </w:tr>
      <w:tr w:rsidR="005A35C7">
        <w:trPr>
          <w:trHeight w:val="26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1071E8">
            <w:r>
              <w:rPr>
                <w:rFonts w:ascii="Times New Roman" w:eastAsia="Times New Roman" w:hAnsi="Times New Roman" w:cs="Times New Roman"/>
                <w:sz w:val="21"/>
              </w:rPr>
              <w:t>There is no condition by other subject.</w:t>
            </w:r>
          </w:p>
        </w:tc>
      </w:tr>
      <w:tr w:rsidR="005A35C7">
        <w:trPr>
          <w:trHeight w:val="24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1071E8">
            <w:r w:rsidRPr="001071E8">
              <w:rPr>
                <w:rFonts w:ascii="Times New Roman" w:eastAsia="Times New Roman" w:hAnsi="Times New Roman" w:cs="Times New Roman"/>
                <w:b/>
                <w:sz w:val="21"/>
              </w:rPr>
              <w:t>Objectives of studying the subject:</w:t>
            </w:r>
          </w:p>
        </w:tc>
      </w:tr>
      <w:tr w:rsidR="005A35C7">
        <w:trPr>
          <w:trHeight w:val="996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E8" w:rsidRDefault="001071E8">
            <w:pPr>
              <w:rPr>
                <w:rFonts w:ascii="Times New Roman" w:eastAsia="Times New Roman" w:hAnsi="Times New Roman" w:cs="Times New Roman"/>
                <w:sz w:val="21"/>
              </w:rPr>
            </w:pPr>
          </w:p>
          <w:p w:rsidR="005A35C7" w:rsidRDefault="001071E8">
            <w:r w:rsidRPr="001071E8">
              <w:rPr>
                <w:rFonts w:ascii="Times New Roman" w:eastAsia="Times New Roman" w:hAnsi="Times New Roman" w:cs="Times New Roman"/>
                <w:sz w:val="21"/>
              </w:rPr>
              <w:t>Mastering the knowledge of valid poetics of Renaissance and Baroque epics and training for independent interpretive and analytical work.</w:t>
            </w:r>
          </w:p>
        </w:tc>
      </w:tr>
      <w:tr w:rsidR="005A35C7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1071E8">
            <w:r>
              <w:rPr>
                <w:rFonts w:ascii="Times New Roman" w:eastAsia="Times New Roman" w:hAnsi="Times New Roman" w:cs="Times New Roman"/>
                <w:b/>
                <w:sz w:val="21"/>
              </w:rPr>
              <w:t>Learning outcom</w:t>
            </w:r>
            <w:r w:rsidR="00BD3AA4">
              <w:rPr>
                <w:rFonts w:ascii="Times New Roman" w:eastAsia="Times New Roman" w:hAnsi="Times New Roman" w:cs="Times New Roman"/>
                <w:b/>
                <w:sz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s (acquired knowledge):</w:t>
            </w:r>
          </w:p>
        </w:tc>
      </w:tr>
      <w:tr w:rsidR="005A35C7">
        <w:trPr>
          <w:trHeight w:val="996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E8" w:rsidRDefault="001071E8">
            <w:pPr>
              <w:rPr>
                <w:rFonts w:ascii="Times New Roman" w:eastAsia="Times New Roman" w:hAnsi="Times New Roman" w:cs="Times New Roman"/>
                <w:sz w:val="21"/>
              </w:rPr>
            </w:pPr>
          </w:p>
          <w:p w:rsidR="005A35C7" w:rsidRDefault="001071E8" w:rsidP="001071E8">
            <w:r>
              <w:rPr>
                <w:rFonts w:ascii="Times New Roman" w:eastAsia="Times New Roman" w:hAnsi="Times New Roman" w:cs="Times New Roman"/>
                <w:sz w:val="21"/>
              </w:rPr>
              <w:t>S</w:t>
            </w:r>
            <w:r w:rsidRPr="001071E8">
              <w:rPr>
                <w:rFonts w:ascii="Times New Roman" w:eastAsia="Times New Roman" w:hAnsi="Times New Roman" w:cs="Times New Roman"/>
                <w:sz w:val="21"/>
              </w:rPr>
              <w:t>tudent</w:t>
            </w:r>
            <w:r>
              <w:rPr>
                <w:rFonts w:ascii="Times New Roman" w:eastAsia="Times New Roman" w:hAnsi="Times New Roman" w:cs="Times New Roman"/>
                <w:sz w:val="21"/>
              </w:rPr>
              <w:t>s</w:t>
            </w:r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will acquire academic knowledge of the poetics of Dubrovnik's Renaissanc</w:t>
            </w:r>
            <w:r>
              <w:rPr>
                <w:rFonts w:ascii="Times New Roman" w:eastAsia="Times New Roman" w:hAnsi="Times New Roman" w:cs="Times New Roman"/>
                <w:sz w:val="21"/>
              </w:rPr>
              <w:t>e and Baroque epics and songs. They</w:t>
            </w:r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will be able to apply this knowledge in the interpretation of epic works.</w:t>
            </w:r>
          </w:p>
        </w:tc>
      </w:tr>
      <w:tr w:rsidR="005A35C7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1071E8">
            <w:r>
              <w:rPr>
                <w:rFonts w:ascii="Times New Roman" w:eastAsia="Times New Roman" w:hAnsi="Times New Roman" w:cs="Times New Roman"/>
                <w:b/>
                <w:sz w:val="21"/>
              </w:rPr>
              <w:t>Subject content</w:t>
            </w:r>
          </w:p>
        </w:tc>
      </w:tr>
      <w:tr w:rsidR="005A35C7">
        <w:trPr>
          <w:trHeight w:val="567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Ilija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Crijević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, De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Epidauro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- one of Dubrovnik's oldest epic works. The importance of this humanist song for understanding and evaluating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Crijević's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literary work in general, as well as for the creation and development of epic poetry in Dubrovnik.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Mavro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Vetranović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Pelegrin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>. Christian Renaissance. Religious-reflexive epic; Dante's theme.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Antun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 w:rsidRPr="001071E8">
              <w:rPr>
                <w:rFonts w:ascii="Times New Roman" w:eastAsia="Times New Roman" w:hAnsi="Times New Roman" w:cs="Times New Roman"/>
                <w:sz w:val="21"/>
              </w:rPr>
              <w:t>Sasin,</w:t>
            </w:r>
            <w:proofErr w:type="gram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Looms from the Turks. A historical song about important contemporary events from the Austrian-Turkish war. Anti-Turkish theme. Traditional procedures of epic poetry.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1071E8">
              <w:rPr>
                <w:rFonts w:ascii="Times New Roman" w:eastAsia="Times New Roman" w:hAnsi="Times New Roman" w:cs="Times New Roman"/>
                <w:sz w:val="21"/>
              </w:rPr>
              <w:t>Christian (Sinan Pasha, burning the relics of Saint Sava in Belgrade) and patriotic feeling.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1071E8">
              <w:rPr>
                <w:rFonts w:ascii="Times New Roman" w:eastAsia="Times New Roman" w:hAnsi="Times New Roman" w:cs="Times New Roman"/>
                <w:sz w:val="21"/>
              </w:rPr>
              <w:t>Threshold of the Baroque.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1071E8">
              <w:rPr>
                <w:rFonts w:ascii="Times New Roman" w:eastAsia="Times New Roman" w:hAnsi="Times New Roman" w:cs="Times New Roman"/>
                <w:sz w:val="21"/>
              </w:rPr>
              <w:t>Epic poetry as a dominant literary genre in the Baroque period. Representation of epics and songs with various themes, of different types: historical-romantic, historical, religious epics; religious-reflexive, religious, comic, satirical, etc. songs.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Dživo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Gundulić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Tears of the</w:t>
            </w:r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prodigal. Religious-reflexive song. The theme of repentance, a favorite theme of baroque literature. General transience, death, sin, fornication, misogyny, the most important baroque themes. The influence of Italian songs of a related theme. Baroque poetic style.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Normative poetics.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Torquato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Tasso. Liberated Jerusalem.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Dživo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Gundulić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, Osman. Historical-romantic epic. Christian and Slavic idea. Historical and literary reasons for creating an original epic work. A vision of history. Serbian history. Patriotism and "Slavism". Epic storyline. The philosophy of the time in which the epic </w:t>
            </w:r>
            <w:proofErr w:type="gramStart"/>
            <w:r w:rsidRPr="001071E8">
              <w:rPr>
                <w:rFonts w:ascii="Times New Roman" w:eastAsia="Times New Roman" w:hAnsi="Times New Roman" w:cs="Times New Roman"/>
                <w:sz w:val="21"/>
              </w:rPr>
              <w:t>was created</w:t>
            </w:r>
            <w:proofErr w:type="gram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and which was reflected in it. Baroque view of the world.</w:t>
            </w:r>
          </w:p>
          <w:p w:rsidR="001071E8" w:rsidRPr="001071E8" w:rsidRDefault="001071E8" w:rsidP="001071E8">
            <w:pPr>
              <w:spacing w:line="236" w:lineRule="auto"/>
              <w:ind w:right="53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1071E8">
              <w:rPr>
                <w:rFonts w:ascii="Times New Roman" w:eastAsia="Times New Roman" w:hAnsi="Times New Roman" w:cs="Times New Roman"/>
                <w:sz w:val="21"/>
              </w:rPr>
              <w:t>Comic songs.</w:t>
            </w:r>
          </w:p>
          <w:p w:rsidR="005A35C7" w:rsidRDefault="001071E8" w:rsidP="001071E8">
            <w:pPr>
              <w:jc w:val="both"/>
            </w:pPr>
            <w:r w:rsidRPr="001071E8">
              <w:rPr>
                <w:rFonts w:ascii="Times New Roman" w:eastAsia="Times New Roman" w:hAnsi="Times New Roman" w:cs="Times New Roman"/>
                <w:sz w:val="21"/>
              </w:rPr>
              <w:t>Songs about the Penitent Magdalene (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Dživo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Bunić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Ignjat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Đurđević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>). The most important baroque theme of repentance. A dualistic understanding of sin.</w:t>
            </w:r>
          </w:p>
        </w:tc>
      </w:tr>
      <w:tr w:rsidR="005A35C7">
        <w:trPr>
          <w:trHeight w:val="75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1E8" w:rsidRPr="001071E8" w:rsidRDefault="001071E8" w:rsidP="001071E8">
            <w:pPr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Dž</w:t>
            </w:r>
            <w:r w:rsidRPr="001071E8">
              <w:rPr>
                <w:rFonts w:ascii="Times New Roman" w:eastAsia="Times New Roman" w:hAnsi="Times New Roman" w:cs="Times New Roman"/>
                <w:sz w:val="21"/>
              </w:rPr>
              <w:t>ono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Palmotić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Kristiada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>. Religious epic.</w:t>
            </w:r>
          </w:p>
          <w:p w:rsidR="001071E8" w:rsidRPr="001071E8" w:rsidRDefault="001071E8" w:rsidP="001071E8">
            <w:pPr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Jaketa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1071E8">
              <w:rPr>
                <w:rFonts w:ascii="Times New Roman" w:eastAsia="Times New Roman" w:hAnsi="Times New Roman" w:cs="Times New Roman"/>
                <w:sz w:val="21"/>
              </w:rPr>
              <w:t>Palmotić</w:t>
            </w:r>
            <w:proofErr w:type="spellEnd"/>
            <w:r w:rsidRPr="001071E8">
              <w:rPr>
                <w:rFonts w:ascii="Times New Roman" w:eastAsia="Times New Roman" w:hAnsi="Times New Roman" w:cs="Times New Roman"/>
                <w:sz w:val="21"/>
              </w:rPr>
              <w:t>, Dubrovnik repeated. Historical epic. A vision of a renewed Dubrovnik.</w:t>
            </w:r>
          </w:p>
          <w:p w:rsidR="005A35C7" w:rsidRDefault="001071E8" w:rsidP="001071E8">
            <w:r w:rsidRPr="001071E8">
              <w:rPr>
                <w:rFonts w:ascii="Times New Roman" w:eastAsia="Times New Roman" w:hAnsi="Times New Roman" w:cs="Times New Roman"/>
                <w:sz w:val="21"/>
              </w:rPr>
              <w:t>A traditional Virgilian form of travel. Patriotic feeling.</w:t>
            </w:r>
          </w:p>
        </w:tc>
      </w:tr>
      <w:tr w:rsidR="005A35C7">
        <w:trPr>
          <w:trHeight w:val="26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3B3B3"/>
          </w:tcPr>
          <w:p w:rsidR="005A35C7" w:rsidRDefault="001071E8">
            <w:r>
              <w:rPr>
                <w:rFonts w:ascii="Times New Roman" w:eastAsia="Times New Roman" w:hAnsi="Times New Roman" w:cs="Times New Roman"/>
                <w:b/>
                <w:sz w:val="21"/>
              </w:rPr>
              <w:t>Teaching methods and mastering the material:</w:t>
            </w:r>
          </w:p>
        </w:tc>
      </w:tr>
      <w:tr w:rsidR="005A35C7">
        <w:trPr>
          <w:trHeight w:val="517"/>
        </w:trPr>
        <w:tc>
          <w:tcPr>
            <w:tcW w:w="938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1071E8">
            <w:r>
              <w:rPr>
                <w:rFonts w:ascii="Times New Roman" w:eastAsia="Times New Roman" w:hAnsi="Times New Roman" w:cs="Times New Roman"/>
                <w:sz w:val="21"/>
              </w:rPr>
              <w:t>Lectures, exercises, discussions, independent work.</w:t>
            </w:r>
            <w:r w:rsidR="00FA00B3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A35C7" w:rsidRDefault="00FA00B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A35C7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1071E8">
            <w:r>
              <w:rPr>
                <w:rFonts w:ascii="Times New Roman" w:eastAsia="Times New Roman" w:hAnsi="Times New Roman" w:cs="Times New Roman"/>
                <w:b/>
                <w:sz w:val="21"/>
              </w:rPr>
              <w:t>Literature:</w:t>
            </w:r>
          </w:p>
        </w:tc>
      </w:tr>
      <w:tr w:rsidR="005A35C7">
        <w:trPr>
          <w:trHeight w:val="5321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Злата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Бојовић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Осман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Џива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Гундулића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1986. </w:t>
            </w:r>
          </w:p>
          <w:p w:rsidR="005A35C7" w:rsidRDefault="00FA00B3">
            <w:pPr>
              <w:spacing w:line="241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Злата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Бојовић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Осман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“ 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кругу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италијанске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епике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XVII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Глас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САНУ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CCCLXXIX,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Одељење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књижевности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15,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1996. </w:t>
            </w:r>
          </w:p>
          <w:p w:rsidR="005A35C7" w:rsidRDefault="00FA00B3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Злата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Бојовић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Дубровачки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писци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Просвета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2011. </w:t>
            </w:r>
          </w:p>
          <w:p w:rsidR="005A35C7" w:rsidRDefault="00FA00B3">
            <w:pPr>
              <w:spacing w:after="1" w:line="238" w:lineRule="auto"/>
              <w:ind w:right="5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Џиво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Гундулић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приређивач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Злата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Бојовић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Антологијска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едиција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Десет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векова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српске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књижевности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књ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12,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Издавачки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центар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Матице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српске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2014.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предговор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Злата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Бојовић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Историја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дубровачке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књижевности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СКЗ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2014. </w:t>
            </w:r>
          </w:p>
          <w:p w:rsidR="005A35C7" w:rsidRDefault="00FA00B3">
            <w:pPr>
              <w:spacing w:after="4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Бранко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Летић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О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словинству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Џива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Гундулића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дубровачког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песника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XVII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века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(1589−1638)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Годишњица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Одјељења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Института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Сарајеву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1978. </w:t>
            </w:r>
          </w:p>
          <w:p w:rsidR="005A35C7" w:rsidRDefault="00FA00B3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Бранко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Летић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Родољубље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дубровачких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песника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17.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века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Сарајево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1982. </w:t>
            </w:r>
          </w:p>
          <w:p w:rsidR="005A35C7" w:rsidRDefault="00FA00B3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Branko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Letić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Dživo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Gundulić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, Osman, </w:t>
            </w:r>
            <w:r>
              <w:rPr>
                <w:rFonts w:ascii="Times New Roman" w:eastAsia="Times New Roman" w:hAnsi="Times New Roman" w:cs="Times New Roman"/>
                <w:sz w:val="21"/>
              </w:rPr>
              <w:t>Sarajevo, 1990.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предговор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) </w:t>
            </w:r>
          </w:p>
          <w:p w:rsidR="005A35C7" w:rsidRDefault="00FA00B3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Пантић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Поетика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хуманизма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ренесансе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, I и II;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Просвета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1963. </w:t>
            </w:r>
          </w:p>
          <w:p w:rsidR="005A35C7" w:rsidRDefault="00FA00B3">
            <w:pPr>
              <w:spacing w:line="23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Пантић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Поетика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Гундулићевог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Османа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пред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књизи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: Џ.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Гундулић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Осман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1967. </w:t>
            </w:r>
          </w:p>
          <w:p w:rsidR="005A35C7" w:rsidRDefault="00FA00B3">
            <w:pPr>
              <w:spacing w:line="241" w:lineRule="auto"/>
              <w:ind w:right="58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Исидора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Секулић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Аналитички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моменти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Ивана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Гундулића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>: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Сузе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сина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разметнога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>”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Преглед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1940, XVI, 200/201, XIV. </w:t>
            </w:r>
          </w:p>
          <w:p w:rsidR="005A35C7" w:rsidRDefault="00FA00B3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Јорjо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Тадић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Дубровник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Џива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Гундулића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књижевни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гласник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1939, LVI, 4</w:t>
            </w:r>
            <w:r>
              <w:rPr>
                <w:rFonts w:ascii="Times New Roman" w:eastAsia="Times New Roman" w:hAnsi="Times New Roman" w:cs="Times New Roman"/>
                <w:color w:val="2D3F4F"/>
                <w:sz w:val="2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A35C7" w:rsidRDefault="00FA00B3">
            <w:pPr>
              <w:spacing w:after="10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Đulio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Feroni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Istorija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italijanske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1"/>
              </w:rPr>
              <w:t>književnosti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CID, Podgorica, JP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Službeni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list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SCG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 Beograd, 2005.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5A35C7" w:rsidRDefault="00FA00B3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5A35C7" w:rsidRDefault="00FA00B3">
            <w:pPr>
              <w:tabs>
                <w:tab w:val="center" w:pos="400"/>
                <w:tab w:val="center" w:pos="451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1"/>
              </w:rPr>
              <w:t>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 w:rsidR="001071E8" w:rsidRPr="001071E8">
              <w:rPr>
                <w:rFonts w:ascii="Times New Roman" w:eastAsia="Times New Roman" w:hAnsi="Times New Roman" w:cs="Times New Roman"/>
                <w:b/>
                <w:sz w:val="21"/>
              </w:rPr>
              <w:t>Articles and boo</w:t>
            </w:r>
            <w:r w:rsidR="001071E8">
              <w:rPr>
                <w:rFonts w:ascii="Times New Roman" w:eastAsia="Times New Roman" w:hAnsi="Times New Roman" w:cs="Times New Roman"/>
                <w:b/>
                <w:sz w:val="21"/>
              </w:rPr>
              <w:t>ks in agreement with the professor</w:t>
            </w:r>
            <w:r w:rsidR="001071E8" w:rsidRPr="001071E8">
              <w:rPr>
                <w:rFonts w:ascii="Times New Roman" w:eastAsia="Times New Roman" w:hAnsi="Times New Roman" w:cs="Times New Roman"/>
                <w:b/>
                <w:sz w:val="21"/>
              </w:rPr>
              <w:t>, depending on the topic of the seminar paper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</w:p>
          <w:p w:rsidR="005A35C7" w:rsidRDefault="00FA00B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A35C7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1071E8">
            <w:r w:rsidRPr="001071E8">
              <w:rPr>
                <w:rFonts w:ascii="Times New Roman" w:eastAsia="Times New Roman" w:hAnsi="Times New Roman" w:cs="Times New Roman"/>
                <w:b/>
                <w:sz w:val="21"/>
              </w:rPr>
              <w:t>Forms of knowledge testing and assessment:</w:t>
            </w:r>
          </w:p>
        </w:tc>
      </w:tr>
      <w:tr w:rsidR="005A35C7">
        <w:trPr>
          <w:trHeight w:val="26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1071E8">
            <w:r w:rsidRPr="001071E8">
              <w:rPr>
                <w:rFonts w:ascii="Times New Roman" w:eastAsia="Times New Roman" w:hAnsi="Times New Roman" w:cs="Times New Roman"/>
                <w:sz w:val="21"/>
              </w:rPr>
              <w:t>Mentoring classes; collection of literature for seminar work; systematization and analysis of material.</w:t>
            </w:r>
          </w:p>
        </w:tc>
      </w:tr>
      <w:tr w:rsidR="00DB01E4" w:rsidTr="00DB01E4">
        <w:trPr>
          <w:trHeight w:val="744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4" w:rsidRDefault="00DB01E4" w:rsidP="00DB01E4">
            <w:pPr>
              <w:ind w:right="213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creation</w:t>
            </w:r>
            <w:r w:rsidRPr="001071E8">
              <w:rPr>
                <w:rFonts w:ascii="Times New Roman" w:eastAsia="Times New Roman" w:hAnsi="Times New Roman" w:cs="Times New Roman"/>
                <w:sz w:val="21"/>
              </w:rPr>
              <w:t xml:space="preserve"> and writing a paper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4" w:rsidRDefault="00DB01E4" w:rsidP="00DB01E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1"/>
              </w:rPr>
              <w:t>up to 40 points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4" w:rsidRDefault="00DB01E4" w:rsidP="00DB01E4">
            <w:pPr>
              <w:ind w:left="4"/>
            </w:pPr>
            <w:r w:rsidRPr="001071E8">
              <w:rPr>
                <w:rFonts w:ascii="Times New Roman" w:eastAsia="Times New Roman" w:hAnsi="Times New Roman" w:cs="Times New Roman"/>
                <w:sz w:val="21"/>
              </w:rPr>
              <w:t>oral explanation and defense of work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4" w:rsidRDefault="00DB01E4" w:rsidP="00DB01E4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>up to 20 points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4" w:rsidRDefault="00DB01E4" w:rsidP="00DB01E4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>oral exam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E4" w:rsidRDefault="00DB01E4" w:rsidP="00DB01E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1"/>
              </w:rPr>
              <w:t>up to 40 points</w:t>
            </w:r>
          </w:p>
        </w:tc>
      </w:tr>
      <w:tr w:rsidR="005A35C7" w:rsidTr="00DB01E4">
        <w:trPr>
          <w:trHeight w:val="258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A35C7">
        <w:trPr>
          <w:trHeight w:val="25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DB01E4">
            <w:r>
              <w:rPr>
                <w:rFonts w:ascii="Times New Roman" w:eastAsia="Times New Roman" w:hAnsi="Times New Roman" w:cs="Times New Roman"/>
                <w:b/>
                <w:sz w:val="21"/>
              </w:rPr>
              <w:t>Special indication for the subject:</w:t>
            </w:r>
          </w:p>
        </w:tc>
      </w:tr>
      <w:tr w:rsidR="005A35C7">
        <w:trPr>
          <w:trHeight w:val="26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C7" w:rsidRDefault="00FA00B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A35C7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A35C7" w:rsidRDefault="00DB01E4">
            <w:r>
              <w:rPr>
                <w:rFonts w:ascii="Times New Roman" w:eastAsia="Times New Roman" w:hAnsi="Times New Roman" w:cs="Times New Roman"/>
                <w:b/>
                <w:sz w:val="21"/>
              </w:rPr>
              <w:t>Name and surname of the professor</w:t>
            </w:r>
            <w:r w:rsidRPr="00DB01E4">
              <w:rPr>
                <w:rFonts w:ascii="Times New Roman" w:eastAsia="Times New Roman" w:hAnsi="Times New Roman" w:cs="Times New Roman"/>
                <w:b/>
                <w:sz w:val="21"/>
              </w:rPr>
              <w:t xml:space="preserve"> who prepared the data: Prof. Dr. Mirjana </w:t>
            </w:r>
            <w:proofErr w:type="spellStart"/>
            <w:r w:rsidRPr="00DB01E4">
              <w:rPr>
                <w:rFonts w:ascii="Times New Roman" w:eastAsia="Times New Roman" w:hAnsi="Times New Roman" w:cs="Times New Roman"/>
                <w:b/>
                <w:sz w:val="21"/>
              </w:rPr>
              <w:t>Arežina</w:t>
            </w:r>
            <w:proofErr w:type="spellEnd"/>
          </w:p>
        </w:tc>
      </w:tr>
    </w:tbl>
    <w:p w:rsidR="005A35C7" w:rsidRDefault="00FA00B3">
      <w:pPr>
        <w:spacing w:after="0" w:line="356" w:lineRule="auto"/>
        <w:ind w:left="312" w:right="8660"/>
        <w:jc w:val="both"/>
      </w:pP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  <w:bookmarkStart w:id="0" w:name="_GoBack"/>
      <w:bookmarkEnd w:id="0"/>
    </w:p>
    <w:sectPr w:rsidR="005A35C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7"/>
    <w:rsid w:val="001071E8"/>
    <w:rsid w:val="0018080C"/>
    <w:rsid w:val="00194D0B"/>
    <w:rsid w:val="005A35C7"/>
    <w:rsid w:val="00BD3AA4"/>
    <w:rsid w:val="00DB01E4"/>
    <w:rsid w:val="00F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66E4"/>
  <w15:docId w15:val="{0F9868D6-2418-4F42-ABC9-DA06756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Terra</cp:lastModifiedBy>
  <cp:revision>6</cp:revision>
  <dcterms:created xsi:type="dcterms:W3CDTF">2024-02-15T08:29:00Z</dcterms:created>
  <dcterms:modified xsi:type="dcterms:W3CDTF">2024-02-19T01:07:00Z</dcterms:modified>
</cp:coreProperties>
</file>