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69"/>
        <w:gridCol w:w="1123"/>
        <w:gridCol w:w="89"/>
        <w:gridCol w:w="89"/>
        <w:gridCol w:w="390"/>
        <w:gridCol w:w="582"/>
        <w:gridCol w:w="6548"/>
      </w:tblGrid>
      <w:tr w:rsidR="007F084B">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BA16BD" w:rsidRDefault="00BA16BD"/>
        </w:tc>
        <w:tc>
          <w:tcPr>
            <w:tcW w:w="499" w:type="dxa"/>
            <w:vMerge w:val="restart"/>
            <w:tcBorders>
              <w:top w:val="single" w:sz="4" w:space="0" w:color="000000"/>
              <w:left w:val="single" w:sz="2" w:space="0" w:color="FFFFFF"/>
              <w:bottom w:val="single" w:sz="4" w:space="0" w:color="000000"/>
              <w:right w:val="nil"/>
            </w:tcBorders>
          </w:tcPr>
          <w:p w:rsidR="00BA16BD" w:rsidRDefault="00D20D32">
            <w:r>
              <w:rPr>
                <w:rFonts w:ascii="Times New Roman" w:eastAsia="Times New Roman" w:hAnsi="Times New Roman" w:cs="Times New Roman"/>
                <w:color w:val="0000FF"/>
                <w:sz w:val="10"/>
              </w:rPr>
              <w:t xml:space="preserve">        </w:t>
            </w:r>
            <w:r w:rsidR="007F084B">
              <w:rPr>
                <w:noProof/>
              </w:rPr>
              <w:drawing>
                <wp:inline distT="0" distB="0" distL="0" distR="0" wp14:anchorId="42463611" wp14:editId="1A94FC60">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BA16BD" w:rsidRDefault="00BA16BD"/>
        </w:tc>
        <w:tc>
          <w:tcPr>
            <w:tcW w:w="98" w:type="dxa"/>
            <w:tcBorders>
              <w:top w:val="single" w:sz="4" w:space="0" w:color="000000"/>
              <w:left w:val="double" w:sz="2" w:space="0" w:color="0000FF"/>
              <w:bottom w:val="single" w:sz="2" w:space="0" w:color="0000FF"/>
              <w:right w:val="single" w:sz="2" w:space="0" w:color="0000FF"/>
            </w:tcBorders>
          </w:tcPr>
          <w:p w:rsidR="00BA16BD" w:rsidRDefault="00BA16BD"/>
        </w:tc>
        <w:tc>
          <w:tcPr>
            <w:tcW w:w="422" w:type="dxa"/>
            <w:vMerge w:val="restart"/>
            <w:tcBorders>
              <w:top w:val="single" w:sz="4" w:space="0" w:color="000000"/>
              <w:left w:val="nil"/>
              <w:bottom w:val="single" w:sz="4" w:space="0" w:color="000000"/>
              <w:right w:val="single" w:sz="2" w:space="0" w:color="FFFFFF"/>
            </w:tcBorders>
          </w:tcPr>
          <w:p w:rsidR="00BA16BD" w:rsidRDefault="00D20D32">
            <w:pPr>
              <w:ind w:left="120"/>
              <w:jc w:val="center"/>
            </w:pPr>
            <w:r>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7F084B" w:rsidRPr="00685E2F" w:rsidRDefault="007F084B" w:rsidP="007F084B">
            <w:pPr>
              <w:ind w:left="1107"/>
              <w:rPr>
                <w:rFonts w:ascii="Times New Roman" w:eastAsia="Times New Roman" w:hAnsi="Times New Roman" w:cs="Times New Roman"/>
                <w:b/>
                <w:sz w:val="24"/>
                <w:szCs w:val="24"/>
              </w:rPr>
            </w:pPr>
            <w:r w:rsidRPr="00685E2F">
              <w:rPr>
                <w:rFonts w:ascii="Times New Roman" w:eastAsia="Times New Roman" w:hAnsi="Times New Roman" w:cs="Times New Roman"/>
                <w:b/>
                <w:sz w:val="24"/>
                <w:szCs w:val="24"/>
              </w:rPr>
              <w:t>UNIVERSITY OF BANJA LUKA</w:t>
            </w:r>
          </w:p>
          <w:p w:rsidR="007F084B" w:rsidRPr="00685E2F" w:rsidRDefault="007F084B" w:rsidP="007F084B">
            <w:pPr>
              <w:ind w:left="1107"/>
              <w:rPr>
                <w:rFonts w:ascii="Times New Roman" w:eastAsia="Times New Roman" w:hAnsi="Times New Roman" w:cs="Times New Roman"/>
                <w:b/>
                <w:sz w:val="24"/>
                <w:szCs w:val="24"/>
              </w:rPr>
            </w:pPr>
            <w:r w:rsidRPr="00685E2F">
              <w:rPr>
                <w:rFonts w:ascii="Times New Roman" w:eastAsia="Times New Roman" w:hAnsi="Times New Roman" w:cs="Times New Roman"/>
                <w:b/>
                <w:sz w:val="24"/>
                <w:szCs w:val="24"/>
              </w:rPr>
              <w:t xml:space="preserve"> </w:t>
            </w:r>
          </w:p>
          <w:p w:rsidR="00BA16BD" w:rsidRDefault="007F084B" w:rsidP="007F084B">
            <w:pPr>
              <w:spacing w:after="53"/>
              <w:ind w:left="1349"/>
            </w:pPr>
            <w:r w:rsidRPr="00685E2F">
              <w:rPr>
                <w:rFonts w:ascii="Times New Roman" w:eastAsia="Times New Roman" w:hAnsi="Times New Roman" w:cs="Times New Roman"/>
                <w:b/>
                <w:sz w:val="24"/>
                <w:szCs w:val="24"/>
              </w:rPr>
              <w:t>FACULTY OF PHILOLOGY</w:t>
            </w:r>
          </w:p>
          <w:p w:rsidR="00BA16BD" w:rsidRDefault="00D20D32">
            <w:r>
              <w:rPr>
                <w:rFonts w:ascii="Times New Roman" w:eastAsia="Times New Roman" w:hAnsi="Times New Roman" w:cs="Times New Roman"/>
                <w:sz w:val="25"/>
              </w:rPr>
              <w:t xml:space="preserve"> </w:t>
            </w:r>
          </w:p>
        </w:tc>
      </w:tr>
      <w:tr w:rsidR="007F084B">
        <w:trPr>
          <w:trHeight w:val="1021"/>
        </w:trPr>
        <w:tc>
          <w:tcPr>
            <w:tcW w:w="0" w:type="auto"/>
            <w:vMerge/>
            <w:tcBorders>
              <w:top w:val="nil"/>
              <w:left w:val="single" w:sz="4" w:space="0" w:color="000000"/>
              <w:bottom w:val="single" w:sz="4" w:space="0" w:color="000000"/>
              <w:right w:val="single" w:sz="2" w:space="0" w:color="FFFFFF"/>
            </w:tcBorders>
          </w:tcPr>
          <w:p w:rsidR="00BA16BD" w:rsidRDefault="00BA16BD"/>
        </w:tc>
        <w:tc>
          <w:tcPr>
            <w:tcW w:w="0" w:type="auto"/>
            <w:vMerge/>
            <w:tcBorders>
              <w:top w:val="nil"/>
              <w:left w:val="single" w:sz="2" w:space="0" w:color="FFFFFF"/>
              <w:bottom w:val="single" w:sz="4" w:space="0" w:color="000000"/>
              <w:right w:val="nil"/>
            </w:tcBorders>
          </w:tcPr>
          <w:p w:rsidR="00BA16BD" w:rsidRDefault="00BA16BD"/>
        </w:tc>
        <w:tc>
          <w:tcPr>
            <w:tcW w:w="98" w:type="dxa"/>
            <w:tcBorders>
              <w:top w:val="single" w:sz="2" w:space="0" w:color="0000FF"/>
              <w:left w:val="nil"/>
              <w:bottom w:val="single" w:sz="4" w:space="0" w:color="000000"/>
              <w:right w:val="nil"/>
            </w:tcBorders>
          </w:tcPr>
          <w:p w:rsidR="00BA16BD" w:rsidRDefault="00BA16BD">
            <w:pPr>
              <w:ind w:left="-499" w:right="-521"/>
            </w:pPr>
          </w:p>
        </w:tc>
        <w:tc>
          <w:tcPr>
            <w:tcW w:w="98" w:type="dxa"/>
            <w:tcBorders>
              <w:top w:val="single" w:sz="2" w:space="0" w:color="0000FF"/>
              <w:left w:val="nil"/>
              <w:bottom w:val="single" w:sz="4" w:space="0" w:color="000000"/>
              <w:right w:val="nil"/>
            </w:tcBorders>
          </w:tcPr>
          <w:p w:rsidR="00BA16BD" w:rsidRDefault="00BA16BD"/>
        </w:tc>
        <w:tc>
          <w:tcPr>
            <w:tcW w:w="0" w:type="auto"/>
            <w:vMerge/>
            <w:tcBorders>
              <w:top w:val="nil"/>
              <w:left w:val="nil"/>
              <w:bottom w:val="single" w:sz="4" w:space="0" w:color="000000"/>
              <w:right w:val="single" w:sz="2" w:space="0" w:color="FFFFFF"/>
            </w:tcBorders>
          </w:tcPr>
          <w:p w:rsidR="00BA16BD" w:rsidRDefault="00BA16BD"/>
        </w:tc>
        <w:tc>
          <w:tcPr>
            <w:tcW w:w="0" w:type="auto"/>
            <w:gridSpan w:val="2"/>
            <w:vMerge/>
            <w:tcBorders>
              <w:top w:val="nil"/>
              <w:left w:val="single" w:sz="2" w:space="0" w:color="FFFFFF"/>
              <w:bottom w:val="single" w:sz="4" w:space="0" w:color="000000"/>
              <w:right w:val="single" w:sz="4" w:space="0" w:color="000000"/>
            </w:tcBorders>
          </w:tcPr>
          <w:p w:rsidR="00BA16BD" w:rsidRDefault="00BA16BD"/>
        </w:tc>
      </w:tr>
      <w:tr w:rsidR="007F084B">
        <w:trPr>
          <w:trHeight w:val="281"/>
        </w:trPr>
        <w:tc>
          <w:tcPr>
            <w:tcW w:w="1231" w:type="dxa"/>
            <w:gridSpan w:val="3"/>
            <w:tcBorders>
              <w:top w:val="single" w:sz="4" w:space="0" w:color="000000"/>
              <w:left w:val="single" w:sz="4" w:space="0" w:color="000000"/>
              <w:bottom w:val="single" w:sz="4" w:space="0" w:color="000000"/>
              <w:right w:val="nil"/>
            </w:tcBorders>
          </w:tcPr>
          <w:p w:rsidR="00BA16BD" w:rsidRDefault="00BA16BD"/>
        </w:tc>
        <w:tc>
          <w:tcPr>
            <w:tcW w:w="8159" w:type="dxa"/>
            <w:gridSpan w:val="4"/>
            <w:tcBorders>
              <w:top w:val="single" w:sz="4" w:space="0" w:color="000000"/>
              <w:left w:val="nil"/>
              <w:bottom w:val="single" w:sz="4" w:space="0" w:color="000000"/>
              <w:right w:val="single" w:sz="4" w:space="0" w:color="000000"/>
            </w:tcBorders>
          </w:tcPr>
          <w:p w:rsidR="00BA16BD" w:rsidRDefault="007F084B">
            <w:pPr>
              <w:ind w:left="1889"/>
            </w:pPr>
            <w:r>
              <w:rPr>
                <w:rFonts w:ascii="Times New Roman" w:eastAsia="Times New Roman" w:hAnsi="Times New Roman" w:cs="Times New Roman"/>
                <w:b/>
                <w:sz w:val="23"/>
              </w:rPr>
              <w:t>Graduate academic studies</w:t>
            </w:r>
          </w:p>
        </w:tc>
      </w:tr>
      <w:tr w:rsidR="007F084B">
        <w:trPr>
          <w:trHeight w:val="271"/>
        </w:trPr>
        <w:tc>
          <w:tcPr>
            <w:tcW w:w="1231" w:type="dxa"/>
            <w:gridSpan w:val="3"/>
            <w:tcBorders>
              <w:top w:val="single" w:sz="4" w:space="0" w:color="000000"/>
              <w:left w:val="single" w:sz="4" w:space="0" w:color="000000"/>
              <w:bottom w:val="single" w:sz="4" w:space="0" w:color="000000"/>
              <w:right w:val="nil"/>
            </w:tcBorders>
          </w:tcPr>
          <w:p w:rsidR="00BA16BD" w:rsidRDefault="007F084B" w:rsidP="007F084B">
            <w:pPr>
              <w:jc w:val="both"/>
            </w:pPr>
            <w:r>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BA16BD" w:rsidRDefault="00D20D32" w:rsidP="007F084B">
            <w:pPr>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BA16BD" w:rsidRDefault="007F084B" w:rsidP="007F084B">
            <w:pPr>
              <w:ind w:left="100"/>
            </w:pPr>
            <w:r>
              <w:rPr>
                <w:rFonts w:ascii="Times New Roman" w:eastAsia="Times New Roman" w:hAnsi="Times New Roman" w:cs="Times New Roman"/>
                <w:b/>
                <w:sz w:val="23"/>
              </w:rPr>
              <w:t>ENGLISH LANGUAGE AND LITERATURE</w:t>
            </w:r>
            <w:r w:rsidR="00D20D32">
              <w:rPr>
                <w:rFonts w:ascii="Times New Roman" w:eastAsia="Times New Roman" w:hAnsi="Times New Roman" w:cs="Times New Roman"/>
                <w:b/>
                <w:sz w:val="23"/>
              </w:rPr>
              <w:t xml:space="preserve"> </w:t>
            </w:r>
          </w:p>
        </w:tc>
      </w:tr>
    </w:tbl>
    <w:p w:rsidR="00BA16BD" w:rsidRDefault="00D20D32">
      <w:pPr>
        <w:spacing w:after="0"/>
        <w:ind w:left="312"/>
        <w:jc w:val="both"/>
      </w:pPr>
      <w:r>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BA16BD">
        <w:trPr>
          <w:trHeight w:val="247"/>
        </w:trPr>
        <w:tc>
          <w:tcPr>
            <w:tcW w:w="1796" w:type="dxa"/>
            <w:tcBorders>
              <w:top w:val="single" w:sz="4" w:space="0" w:color="000000"/>
              <w:left w:val="single" w:sz="4" w:space="0" w:color="000000"/>
              <w:bottom w:val="single" w:sz="4" w:space="0" w:color="000000"/>
              <w:right w:val="single" w:sz="4" w:space="0" w:color="000000"/>
            </w:tcBorders>
          </w:tcPr>
          <w:p w:rsidR="00BA16BD" w:rsidRDefault="007F084B" w:rsidP="007F084B">
            <w:pPr>
              <w:jc w:val="both"/>
            </w:pPr>
            <w:r>
              <w:rPr>
                <w:rFonts w:ascii="Times New Roman" w:eastAsia="Times New Roman" w:hAnsi="Times New Roman" w:cs="Times New Roman"/>
                <w:b/>
                <w:sz w:val="21"/>
              </w:rPr>
              <w:t>Subject</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BA16BD" w:rsidRDefault="007F084B" w:rsidP="007F084B">
            <w:pPr>
              <w:ind w:left="4"/>
            </w:pPr>
            <w:r>
              <w:rPr>
                <w:rFonts w:ascii="Times New Roman" w:eastAsia="Times New Roman" w:hAnsi="Times New Roman" w:cs="Times New Roman"/>
                <w:b/>
                <w:sz w:val="21"/>
              </w:rPr>
              <w:t>LITERATURE AND FEMINISMS</w:t>
            </w:r>
            <w:r w:rsidR="00D20D32">
              <w:rPr>
                <w:rFonts w:ascii="Times New Roman" w:eastAsia="Times New Roman" w:hAnsi="Times New Roman" w:cs="Times New Roman"/>
                <w:b/>
                <w:sz w:val="21"/>
              </w:rPr>
              <w:t xml:space="preserve"> </w:t>
            </w:r>
          </w:p>
        </w:tc>
        <w:tc>
          <w:tcPr>
            <w:tcW w:w="2627" w:type="dxa"/>
            <w:tcBorders>
              <w:top w:val="single" w:sz="4" w:space="0" w:color="000000"/>
              <w:left w:val="nil"/>
              <w:bottom w:val="single" w:sz="4" w:space="0" w:color="000000"/>
              <w:right w:val="single" w:sz="4" w:space="0" w:color="000000"/>
            </w:tcBorders>
            <w:shd w:val="clear" w:color="auto" w:fill="B3B3B3"/>
          </w:tcPr>
          <w:p w:rsidR="00BA16BD" w:rsidRDefault="00BA16BD"/>
        </w:tc>
      </w:tr>
      <w:tr w:rsidR="007F084B">
        <w:trPr>
          <w:trHeight w:val="505"/>
        </w:trPr>
        <w:tc>
          <w:tcPr>
            <w:tcW w:w="1796" w:type="dxa"/>
            <w:tcBorders>
              <w:top w:val="single" w:sz="4" w:space="0" w:color="000000"/>
              <w:left w:val="single" w:sz="4" w:space="0" w:color="000000"/>
              <w:bottom w:val="single" w:sz="4" w:space="0" w:color="000000"/>
              <w:right w:val="single" w:sz="4" w:space="0" w:color="000000"/>
            </w:tcBorders>
          </w:tcPr>
          <w:p w:rsidR="007F084B" w:rsidRPr="00685E2F" w:rsidRDefault="007F084B" w:rsidP="007F084B">
            <w:pPr>
              <w:spacing w:after="20"/>
              <w:rPr>
                <w:sz w:val="24"/>
                <w:szCs w:val="24"/>
              </w:rPr>
            </w:pPr>
            <w:r w:rsidRPr="00685E2F">
              <w:rPr>
                <w:rFonts w:ascii="Times New Roman" w:eastAsia="Times New Roman" w:hAnsi="Times New Roman" w:cs="Times New Roman"/>
                <w:b/>
                <w:sz w:val="24"/>
                <w:szCs w:val="24"/>
              </w:rPr>
              <w:t>Subject code</w:t>
            </w:r>
          </w:p>
        </w:tc>
        <w:tc>
          <w:tcPr>
            <w:tcW w:w="1800" w:type="dxa"/>
            <w:tcBorders>
              <w:top w:val="single" w:sz="4" w:space="0" w:color="000000"/>
              <w:left w:val="single" w:sz="4" w:space="0" w:color="000000"/>
              <w:bottom w:val="single" w:sz="4" w:space="0" w:color="000000"/>
              <w:right w:val="single" w:sz="4" w:space="0" w:color="000000"/>
            </w:tcBorders>
          </w:tcPr>
          <w:p w:rsidR="007F084B" w:rsidRPr="00685E2F" w:rsidRDefault="007F084B" w:rsidP="007F084B">
            <w:pPr>
              <w:ind w:left="5"/>
              <w:jc w:val="center"/>
              <w:rPr>
                <w:sz w:val="24"/>
                <w:szCs w:val="24"/>
              </w:rPr>
            </w:pPr>
            <w:r w:rsidRPr="00685E2F">
              <w:rPr>
                <w:rFonts w:ascii="Times New Roman" w:eastAsia="Times New Roman" w:hAnsi="Times New Roman" w:cs="Times New Roman"/>
                <w:b/>
                <w:sz w:val="24"/>
                <w:szCs w:val="24"/>
              </w:rPr>
              <w:t xml:space="preserve">Subject status </w:t>
            </w:r>
          </w:p>
        </w:tc>
        <w:tc>
          <w:tcPr>
            <w:tcW w:w="1589" w:type="dxa"/>
            <w:tcBorders>
              <w:top w:val="single" w:sz="4" w:space="0" w:color="000000"/>
              <w:left w:val="single" w:sz="4" w:space="0" w:color="000000"/>
              <w:bottom w:val="single" w:sz="4" w:space="0" w:color="000000"/>
              <w:right w:val="single" w:sz="4" w:space="0" w:color="000000"/>
            </w:tcBorders>
            <w:vAlign w:val="center"/>
          </w:tcPr>
          <w:p w:rsidR="007F084B" w:rsidRPr="00685E2F" w:rsidRDefault="007F084B" w:rsidP="007F084B">
            <w:pPr>
              <w:ind w:right="12"/>
              <w:jc w:val="center"/>
              <w:rPr>
                <w:sz w:val="24"/>
                <w:szCs w:val="24"/>
              </w:rPr>
            </w:pPr>
            <w:r w:rsidRPr="00685E2F">
              <w:rPr>
                <w:rFonts w:ascii="Times New Roman" w:eastAsia="Times New Roman" w:hAnsi="Times New Roman" w:cs="Times New Roman"/>
                <w:b/>
                <w:sz w:val="24"/>
                <w:szCs w:val="24"/>
              </w:rPr>
              <w:t xml:space="preserve">Semester </w:t>
            </w:r>
          </w:p>
        </w:tc>
        <w:tc>
          <w:tcPr>
            <w:tcW w:w="1574" w:type="dxa"/>
            <w:tcBorders>
              <w:top w:val="single" w:sz="4" w:space="0" w:color="000000"/>
              <w:left w:val="single" w:sz="4" w:space="0" w:color="000000"/>
              <w:bottom w:val="single" w:sz="4" w:space="0" w:color="000000"/>
              <w:right w:val="single" w:sz="4" w:space="0" w:color="000000"/>
            </w:tcBorders>
            <w:vAlign w:val="center"/>
          </w:tcPr>
          <w:p w:rsidR="007F084B" w:rsidRPr="00685E2F" w:rsidRDefault="007F084B" w:rsidP="007F084B">
            <w:pPr>
              <w:ind w:left="71"/>
              <w:rPr>
                <w:sz w:val="24"/>
                <w:szCs w:val="24"/>
              </w:rPr>
            </w:pPr>
            <w:r w:rsidRPr="00685E2F">
              <w:rPr>
                <w:rFonts w:ascii="Times New Roman" w:eastAsia="Times New Roman" w:hAnsi="Times New Roman" w:cs="Times New Roman"/>
                <w:b/>
                <w:sz w:val="24"/>
                <w:szCs w:val="24"/>
              </w:rPr>
              <w:t>Lesson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7F084B" w:rsidRPr="00685E2F" w:rsidRDefault="007F084B" w:rsidP="007F084B">
            <w:pPr>
              <w:ind w:right="11"/>
              <w:jc w:val="center"/>
              <w:rPr>
                <w:sz w:val="24"/>
                <w:szCs w:val="24"/>
              </w:rPr>
            </w:pPr>
            <w:r w:rsidRPr="00685E2F">
              <w:rPr>
                <w:rFonts w:ascii="Times New Roman" w:eastAsia="Times New Roman" w:hAnsi="Times New Roman" w:cs="Times New Roman"/>
                <w:b/>
                <w:sz w:val="24"/>
                <w:szCs w:val="24"/>
              </w:rPr>
              <w:t xml:space="preserve">Number of </w:t>
            </w:r>
            <w:proofErr w:type="spellStart"/>
            <w:r w:rsidRPr="00685E2F">
              <w:rPr>
                <w:rFonts w:ascii="Times New Roman" w:eastAsia="Times New Roman" w:hAnsi="Times New Roman" w:cs="Times New Roman"/>
                <w:b/>
                <w:sz w:val="24"/>
                <w:szCs w:val="24"/>
              </w:rPr>
              <w:t>ECTS</w:t>
            </w:r>
            <w:proofErr w:type="spellEnd"/>
            <w:r w:rsidRPr="00685E2F">
              <w:rPr>
                <w:rFonts w:ascii="Times New Roman" w:eastAsia="Times New Roman" w:hAnsi="Times New Roman" w:cs="Times New Roman"/>
                <w:b/>
                <w:sz w:val="24"/>
                <w:szCs w:val="24"/>
              </w:rPr>
              <w:t xml:space="preserve"> credits</w:t>
            </w:r>
          </w:p>
        </w:tc>
      </w:tr>
      <w:tr w:rsidR="00BA16BD">
        <w:trPr>
          <w:trHeight w:val="260"/>
        </w:trPr>
        <w:tc>
          <w:tcPr>
            <w:tcW w:w="1796" w:type="dxa"/>
            <w:tcBorders>
              <w:top w:val="single" w:sz="4" w:space="0" w:color="000000"/>
              <w:left w:val="single" w:sz="4" w:space="0" w:color="000000"/>
              <w:bottom w:val="single" w:sz="4" w:space="0" w:color="000000"/>
              <w:right w:val="single" w:sz="4" w:space="0" w:color="000000"/>
            </w:tcBorders>
          </w:tcPr>
          <w:p w:rsidR="00BA16BD" w:rsidRDefault="007F084B">
            <w:proofErr w:type="spellStart"/>
            <w:r>
              <w:rPr>
                <w:rFonts w:ascii="Times New Roman" w:eastAsia="Times New Roman" w:hAnsi="Times New Roman" w:cs="Times New Roman"/>
                <w:sz w:val="21"/>
              </w:rPr>
              <w:t>КIF</w:t>
            </w:r>
            <w:proofErr w:type="spellEnd"/>
            <w:r w:rsidR="00D20D32">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A16BD" w:rsidRDefault="007F084B">
            <w:pPr>
              <w:ind w:right="15"/>
              <w:jc w:val="center"/>
            </w:pPr>
            <w:r>
              <w:rPr>
                <w:rFonts w:ascii="Times New Roman" w:eastAsia="Times New Roman" w:hAnsi="Times New Roman" w:cs="Times New Roman"/>
                <w:sz w:val="21"/>
              </w:rPr>
              <w:t>E</w:t>
            </w:r>
            <w:r w:rsidR="00D20D32">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BA16BD" w:rsidRDefault="00D20D32">
            <w:pPr>
              <w:ind w:right="15"/>
              <w:jc w:val="center"/>
            </w:pPr>
            <w:r>
              <w:rPr>
                <w:rFonts w:ascii="Times New Roman" w:eastAsia="Times New Roman" w:hAnsi="Times New Roman" w:cs="Times New Roman"/>
                <w:sz w:val="21"/>
              </w:rPr>
              <w:t xml:space="preserve">4 </w:t>
            </w:r>
          </w:p>
        </w:tc>
        <w:tc>
          <w:tcPr>
            <w:tcW w:w="1574" w:type="dxa"/>
            <w:tcBorders>
              <w:top w:val="single" w:sz="4" w:space="0" w:color="000000"/>
              <w:left w:val="single" w:sz="4" w:space="0" w:color="000000"/>
              <w:bottom w:val="single" w:sz="4" w:space="0" w:color="000000"/>
              <w:right w:val="single" w:sz="4" w:space="0" w:color="000000"/>
            </w:tcBorders>
          </w:tcPr>
          <w:p w:rsidR="00BA16BD" w:rsidRDefault="00D20D32">
            <w:pPr>
              <w:ind w:left="42"/>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BA16BD" w:rsidRDefault="00D20D32">
            <w:pPr>
              <w:ind w:left="36"/>
              <w:jc w:val="center"/>
            </w:pPr>
            <w:r>
              <w:rPr>
                <w:rFonts w:ascii="Times New Roman" w:eastAsia="Times New Roman" w:hAnsi="Times New Roman" w:cs="Times New Roman"/>
                <w:sz w:val="21"/>
              </w:rPr>
              <w:t xml:space="preserve"> </w:t>
            </w:r>
          </w:p>
        </w:tc>
      </w:tr>
      <w:tr w:rsidR="00BA16BD">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BA16BD" w:rsidRDefault="007F084B">
            <w:r>
              <w:rPr>
                <w:rFonts w:ascii="Times New Roman" w:eastAsia="Times New Roman" w:hAnsi="Times New Roman" w:cs="Times New Roman"/>
                <w:b/>
                <w:sz w:val="21"/>
              </w:rPr>
              <w:t>Professors</w:t>
            </w:r>
          </w:p>
        </w:tc>
        <w:tc>
          <w:tcPr>
            <w:tcW w:w="4963" w:type="dxa"/>
            <w:gridSpan w:val="3"/>
            <w:tcBorders>
              <w:top w:val="single" w:sz="4" w:space="0" w:color="000000"/>
              <w:left w:val="single" w:sz="4" w:space="0" w:color="000000"/>
              <w:bottom w:val="single" w:sz="4" w:space="0" w:color="000000"/>
              <w:right w:val="nil"/>
            </w:tcBorders>
          </w:tcPr>
          <w:p w:rsidR="00BA16BD" w:rsidRDefault="007F084B">
            <w:pPr>
              <w:ind w:left="4"/>
            </w:pPr>
            <w:r>
              <w:rPr>
                <w:rFonts w:ascii="Times New Roman" w:eastAsia="Times New Roman" w:hAnsi="Times New Roman" w:cs="Times New Roman"/>
                <w:sz w:val="21"/>
              </w:rPr>
              <w:t xml:space="preserve">Prof. dr. </w:t>
            </w:r>
            <w:proofErr w:type="spellStart"/>
            <w:r>
              <w:rPr>
                <w:rFonts w:ascii="Times New Roman" w:eastAsia="Times New Roman" w:hAnsi="Times New Roman" w:cs="Times New Roman"/>
                <w:sz w:val="21"/>
              </w:rPr>
              <w:t>Tatjana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Bijelić</w:t>
            </w:r>
            <w:proofErr w:type="spellEnd"/>
          </w:p>
        </w:tc>
        <w:tc>
          <w:tcPr>
            <w:tcW w:w="2627" w:type="dxa"/>
            <w:tcBorders>
              <w:top w:val="single" w:sz="4" w:space="0" w:color="000000"/>
              <w:left w:val="nil"/>
              <w:bottom w:val="single" w:sz="4" w:space="0" w:color="000000"/>
              <w:right w:val="single" w:sz="4" w:space="0" w:color="000000"/>
            </w:tcBorders>
          </w:tcPr>
          <w:p w:rsidR="00BA16BD" w:rsidRDefault="00BA16BD"/>
        </w:tc>
      </w:tr>
    </w:tbl>
    <w:p w:rsidR="00BA16BD" w:rsidRDefault="00D20D32">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4" w:type="dxa"/>
          <w:left w:w="102" w:type="dxa"/>
          <w:right w:w="216" w:type="dxa"/>
        </w:tblCellMar>
        <w:tblLook w:val="04A0" w:firstRow="1" w:lastRow="0" w:firstColumn="1" w:lastColumn="0" w:noHBand="0" w:noVBand="1"/>
      </w:tblPr>
      <w:tblGrid>
        <w:gridCol w:w="9386"/>
      </w:tblGrid>
      <w:tr w:rsidR="00BA16BD">
        <w:trPr>
          <w:trHeight w:val="255"/>
        </w:trPr>
        <w:tc>
          <w:tcPr>
            <w:tcW w:w="9386" w:type="dxa"/>
            <w:tcBorders>
              <w:top w:val="single" w:sz="4" w:space="0" w:color="000000"/>
              <w:left w:val="single" w:sz="4" w:space="0" w:color="000000"/>
              <w:bottom w:val="single" w:sz="2" w:space="0" w:color="000000"/>
              <w:right w:val="single" w:sz="4" w:space="0" w:color="000000"/>
            </w:tcBorders>
            <w:shd w:val="clear" w:color="auto" w:fill="B3B3B3"/>
          </w:tcPr>
          <w:p w:rsidR="00BA16BD" w:rsidRDefault="007F084B">
            <w:r>
              <w:rPr>
                <w:rFonts w:ascii="Times New Roman" w:eastAsia="Times New Roman" w:hAnsi="Times New Roman" w:cs="Times New Roman"/>
                <w:b/>
                <w:sz w:val="21"/>
              </w:rPr>
              <w:t>Conditioned by other subjects:</w:t>
            </w:r>
          </w:p>
        </w:tc>
      </w:tr>
      <w:tr w:rsidR="00BA16BD">
        <w:trPr>
          <w:trHeight w:val="259"/>
        </w:trPr>
        <w:tc>
          <w:tcPr>
            <w:tcW w:w="9386" w:type="dxa"/>
            <w:tcBorders>
              <w:top w:val="single" w:sz="2"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t xml:space="preserve"> </w:t>
            </w:r>
          </w:p>
        </w:tc>
      </w:tr>
      <w:tr w:rsidR="007F084B">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F084B" w:rsidRPr="00685E2F" w:rsidRDefault="007F084B" w:rsidP="007F084B">
            <w:pPr>
              <w:rPr>
                <w:sz w:val="24"/>
                <w:szCs w:val="24"/>
              </w:rPr>
            </w:pPr>
            <w:r w:rsidRPr="00685E2F">
              <w:rPr>
                <w:rFonts w:ascii="Times New Roman" w:eastAsia="Times New Roman" w:hAnsi="Times New Roman" w:cs="Times New Roman"/>
                <w:b/>
                <w:sz w:val="24"/>
                <w:szCs w:val="24"/>
              </w:rPr>
              <w:t>Objectives of studying the subject:</w:t>
            </w:r>
          </w:p>
        </w:tc>
      </w:tr>
      <w:tr w:rsidR="00BA16BD">
        <w:trPr>
          <w:trHeight w:val="4687"/>
        </w:trPr>
        <w:tc>
          <w:tcPr>
            <w:tcW w:w="9386" w:type="dxa"/>
            <w:tcBorders>
              <w:top w:val="single" w:sz="4" w:space="0" w:color="000000"/>
              <w:left w:val="single" w:sz="4" w:space="0" w:color="000000"/>
              <w:bottom w:val="single" w:sz="4" w:space="0" w:color="000000"/>
              <w:right w:val="single" w:sz="4" w:space="0" w:color="000000"/>
            </w:tcBorders>
          </w:tcPr>
          <w:p w:rsidR="007F084B" w:rsidRDefault="007F084B">
            <w:pPr>
              <w:rPr>
                <w:rFonts w:ascii="Times New Roman" w:eastAsia="Times New Roman" w:hAnsi="Times New Roman" w:cs="Times New Roman"/>
                <w:sz w:val="21"/>
              </w:rPr>
            </w:pPr>
          </w:p>
          <w:p w:rsidR="00BA16BD" w:rsidRDefault="007F084B" w:rsidP="007F084B">
            <w:pPr>
              <w:jc w:val="both"/>
            </w:pPr>
            <w:r w:rsidRPr="007F084B">
              <w:rPr>
                <w:rFonts w:ascii="Times New Roman" w:eastAsia="Times New Roman" w:hAnsi="Times New Roman" w:cs="Times New Roman"/>
                <w:sz w:val="21"/>
              </w:rPr>
              <w:t xml:space="preserve">By studying the subject Literature and Feminisms, </w:t>
            </w:r>
            <w:r>
              <w:rPr>
                <w:rFonts w:ascii="Times New Roman" w:eastAsia="Times New Roman" w:hAnsi="Times New Roman" w:cs="Times New Roman"/>
                <w:sz w:val="21"/>
              </w:rPr>
              <w:t xml:space="preserve">it is tried </w:t>
            </w:r>
            <w:r w:rsidRPr="007F084B">
              <w:rPr>
                <w:rFonts w:ascii="Times New Roman" w:eastAsia="Times New Roman" w:hAnsi="Times New Roman" w:cs="Times New Roman"/>
                <w:sz w:val="21"/>
              </w:rPr>
              <w:t xml:space="preserve"> to achieve the following goals: pointing out the existence of gender-sensitive alternative literary canons through introducing students to the neglected works of the Anglo-American literary-critical canon, as well as some of the other representative texts translated into English, and works that have not been studied in first and second cycles, or they were insufficiently represented in the teaching process, and traditional reviews of literature systematically exclude them for the reason that they treat the female experience as opposite or different to the male experience as a normative experience; indicating the existence of a platform for feminist reading of literary works; introducing students to basic and specific concepts of feminist theory, as well as various concepts of feminist thought from the emergence of the first feminist ideas to contemporary considerations of the problems of the third wave of feminism, post-feminism and transnational feminism, as well as their performative ramifications; establishment and consideration of theoretical and (gyno-)critical frameworks for discussion of literary works by authors published in English; achieving awareness of overcoming exclusivity and stereotypes when evaluating literary production; creation of critical-theoretical connections between presented literary works, as well as works that were treated in previous cycles in different or related contexts.</w:t>
            </w:r>
          </w:p>
        </w:tc>
      </w:tr>
      <w:tr w:rsidR="00BA16BD">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BA16BD" w:rsidRDefault="007F084B">
            <w:r>
              <w:rPr>
                <w:rFonts w:ascii="Times New Roman" w:eastAsia="Times New Roman" w:hAnsi="Times New Roman" w:cs="Times New Roman"/>
                <w:b/>
                <w:sz w:val="21"/>
              </w:rPr>
              <w:t>Learning outcomes (acquired knowledge):</w:t>
            </w:r>
          </w:p>
        </w:tc>
      </w:tr>
      <w:tr w:rsidR="00BA16BD">
        <w:trPr>
          <w:trHeight w:val="3212"/>
        </w:trPr>
        <w:tc>
          <w:tcPr>
            <w:tcW w:w="9386" w:type="dxa"/>
            <w:tcBorders>
              <w:top w:val="single" w:sz="4" w:space="0" w:color="000000"/>
              <w:left w:val="single" w:sz="4" w:space="0" w:color="000000"/>
              <w:bottom w:val="single" w:sz="4" w:space="0" w:color="000000"/>
              <w:right w:val="single" w:sz="4" w:space="0" w:color="000000"/>
            </w:tcBorders>
          </w:tcPr>
          <w:p w:rsidR="007F084B" w:rsidRDefault="007F084B" w:rsidP="007F084B">
            <w:pPr>
              <w:jc w:val="both"/>
              <w:rPr>
                <w:rFonts w:ascii="Times New Roman" w:eastAsia="Times New Roman" w:hAnsi="Times New Roman" w:cs="Times New Roman"/>
                <w:sz w:val="21"/>
              </w:rPr>
            </w:pPr>
          </w:p>
          <w:p w:rsidR="00BA16BD" w:rsidRDefault="007F084B" w:rsidP="007F084B">
            <w:pPr>
              <w:jc w:val="both"/>
            </w:pPr>
            <w:proofErr w:type="gramStart"/>
            <w:r w:rsidRPr="007F084B">
              <w:rPr>
                <w:rFonts w:ascii="Times New Roman" w:eastAsia="Times New Roman" w:hAnsi="Times New Roman" w:cs="Times New Roman"/>
                <w:sz w:val="21"/>
              </w:rPr>
              <w:t>In addition to having the opportunity to become familiar with a series of literary, critical and theoretical texts that were created in parallel with the long-standing struggle of women for basic human rights and equality</w:t>
            </w:r>
            <w:r>
              <w:rPr>
                <w:rFonts w:ascii="Times New Roman" w:eastAsia="Times New Roman" w:hAnsi="Times New Roman" w:cs="Times New Roman"/>
                <w:sz w:val="21"/>
              </w:rPr>
              <w:t>,</w:t>
            </w:r>
            <w:r w:rsidRPr="007F084B">
              <w:rPr>
                <w:rFonts w:ascii="Times New Roman" w:eastAsia="Times New Roman" w:hAnsi="Times New Roman" w:cs="Times New Roman"/>
                <w:sz w:val="21"/>
              </w:rPr>
              <w:t xml:space="preserve"> and thus supported an alternative, marginal, but today all</w:t>
            </w:r>
            <w:r>
              <w:rPr>
                <w:rFonts w:ascii="Times New Roman" w:eastAsia="Times New Roman" w:hAnsi="Times New Roman" w:cs="Times New Roman"/>
                <w:sz w:val="21"/>
              </w:rPr>
              <w:t xml:space="preserve"> </w:t>
            </w:r>
            <w:r w:rsidRPr="007F084B">
              <w:rPr>
                <w:rFonts w:ascii="Times New Roman" w:eastAsia="Times New Roman" w:hAnsi="Times New Roman" w:cs="Times New Roman"/>
                <w:sz w:val="21"/>
              </w:rPr>
              <w:t>a more representative view of the world, male and female students will acquire new theoretical and practically applicable knowledge and skills in the field of literary science, feminist theory and criticism, as well as knowledge about the mechanisms of creating literary canons and their traditional gender conditioning through the patriarchal favoring of a gender-fixed literary subject.</w:t>
            </w:r>
            <w:proofErr w:type="gramEnd"/>
            <w:r w:rsidRPr="007F084B">
              <w:rPr>
                <w:rFonts w:ascii="Times New Roman" w:eastAsia="Times New Roman" w:hAnsi="Times New Roman" w:cs="Times New Roman"/>
                <w:sz w:val="21"/>
              </w:rPr>
              <w:t xml:space="preserve"> It </w:t>
            </w:r>
            <w:proofErr w:type="gramStart"/>
            <w:r w:rsidRPr="007F084B">
              <w:rPr>
                <w:rFonts w:ascii="Times New Roman" w:eastAsia="Times New Roman" w:hAnsi="Times New Roman" w:cs="Times New Roman"/>
                <w:sz w:val="21"/>
              </w:rPr>
              <w:t>is expected</w:t>
            </w:r>
            <w:proofErr w:type="gramEnd"/>
            <w:r w:rsidRPr="007F084B">
              <w:rPr>
                <w:rFonts w:ascii="Times New Roman" w:eastAsia="Times New Roman" w:hAnsi="Times New Roman" w:cs="Times New Roman"/>
                <w:sz w:val="21"/>
              </w:rPr>
              <w:t xml:space="preserve"> that students will adopt the necessary theoretical and </w:t>
            </w:r>
            <w:r>
              <w:rPr>
                <w:rFonts w:ascii="Times New Roman" w:eastAsia="Times New Roman" w:hAnsi="Times New Roman" w:cs="Times New Roman"/>
                <w:sz w:val="21"/>
              </w:rPr>
              <w:t>o</w:t>
            </w:r>
            <w:r w:rsidRPr="007F084B">
              <w:rPr>
                <w:rFonts w:ascii="Times New Roman" w:eastAsia="Times New Roman" w:hAnsi="Times New Roman" w:cs="Times New Roman"/>
                <w:sz w:val="21"/>
              </w:rPr>
              <w:t xml:space="preserve">perational concepts needed </w:t>
            </w:r>
            <w:r>
              <w:rPr>
                <w:rFonts w:ascii="Times New Roman" w:eastAsia="Times New Roman" w:hAnsi="Times New Roman" w:cs="Times New Roman"/>
                <w:sz w:val="21"/>
              </w:rPr>
              <w:t>when analyzing</w:t>
            </w:r>
            <w:r w:rsidRPr="007F084B">
              <w:rPr>
                <w:rFonts w:ascii="Times New Roman" w:eastAsia="Times New Roman" w:hAnsi="Times New Roman" w:cs="Times New Roman"/>
                <w:sz w:val="21"/>
              </w:rPr>
              <w:t xml:space="preserve"> a literary work, which will not only direct them in the direction of the proposed approaches to a particular literary work, but will also increase their ability to think independently, which is the basis of a successful theoretical-critical analysis and contextualization literary text.</w:t>
            </w:r>
          </w:p>
        </w:tc>
      </w:tr>
    </w:tbl>
    <w:p w:rsidR="00BA16BD" w:rsidRDefault="00BA16BD">
      <w:pPr>
        <w:spacing w:after="0"/>
        <w:ind w:left="-1440" w:right="10466"/>
      </w:pPr>
    </w:p>
    <w:tbl>
      <w:tblPr>
        <w:tblStyle w:val="TableGrid"/>
        <w:tblW w:w="9386" w:type="dxa"/>
        <w:tblInd w:w="210" w:type="dxa"/>
        <w:tblCellMar>
          <w:top w:w="42" w:type="dxa"/>
          <w:left w:w="101" w:type="dxa"/>
          <w:right w:w="115" w:type="dxa"/>
        </w:tblCellMar>
        <w:tblLook w:val="04A0" w:firstRow="1" w:lastRow="0" w:firstColumn="1" w:lastColumn="0" w:noHBand="0" w:noVBand="1"/>
      </w:tblPr>
      <w:tblGrid>
        <w:gridCol w:w="2511"/>
        <w:gridCol w:w="1445"/>
        <w:gridCol w:w="1051"/>
        <w:gridCol w:w="2016"/>
        <w:gridCol w:w="1488"/>
        <w:gridCol w:w="875"/>
      </w:tblGrid>
      <w:tr w:rsidR="00BA16BD">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lastRenderedPageBreak/>
              <w:t xml:space="preserve"> </w:t>
            </w:r>
          </w:p>
        </w:tc>
      </w:tr>
      <w:tr w:rsidR="00BA16B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A16BD" w:rsidRDefault="003F24D0">
            <w:r>
              <w:rPr>
                <w:rFonts w:ascii="Times New Roman" w:eastAsia="Times New Roman" w:hAnsi="Times New Roman" w:cs="Times New Roman"/>
                <w:b/>
                <w:sz w:val="21"/>
              </w:rPr>
              <w:t>Subject content:</w:t>
            </w:r>
          </w:p>
        </w:tc>
      </w:tr>
      <w:tr w:rsidR="00BA16BD">
        <w:trPr>
          <w:trHeight w:val="2964"/>
        </w:trPr>
        <w:tc>
          <w:tcPr>
            <w:tcW w:w="9386" w:type="dxa"/>
            <w:gridSpan w:val="6"/>
            <w:tcBorders>
              <w:top w:val="single" w:sz="4" w:space="0" w:color="000000"/>
              <w:left w:val="single" w:sz="4" w:space="0" w:color="000000"/>
              <w:bottom w:val="single" w:sz="4" w:space="0" w:color="000000"/>
              <w:right w:val="single" w:sz="4" w:space="0" w:color="000000"/>
            </w:tcBorders>
          </w:tcPr>
          <w:p w:rsidR="008B3BE6" w:rsidRDefault="008B3BE6" w:rsidP="008B3BE6">
            <w:pPr>
              <w:rPr>
                <w:rFonts w:ascii="Times New Roman" w:eastAsia="Times New Roman" w:hAnsi="Times New Roman" w:cs="Times New Roman"/>
                <w:sz w:val="21"/>
              </w:rPr>
            </w:pPr>
          </w:p>
          <w:p w:rsidR="008B3BE6" w:rsidRPr="008B3BE6" w:rsidRDefault="008B3BE6" w:rsidP="008B3BE6">
            <w:pPr>
              <w:jc w:val="both"/>
              <w:rPr>
                <w:rFonts w:ascii="Times New Roman" w:eastAsia="Times New Roman" w:hAnsi="Times New Roman" w:cs="Times New Roman"/>
                <w:sz w:val="21"/>
              </w:rPr>
            </w:pPr>
            <w:proofErr w:type="gramStart"/>
            <w:r w:rsidRPr="008B3BE6">
              <w:rPr>
                <w:rFonts w:ascii="Times New Roman" w:eastAsia="Times New Roman" w:hAnsi="Times New Roman" w:cs="Times New Roman"/>
                <w:sz w:val="21"/>
              </w:rPr>
              <w:t xml:space="preserve">In addition to a review of some of the previously studied and unrepresented literary works, the course includes intensive discussions based on the texts of feminist literary theory and criticism by authors such as: Elizabeth Cady Stanton, Emma Goldman, Mina Loy, Kate Millett, Helene </w:t>
            </w:r>
            <w:proofErr w:type="spellStart"/>
            <w:r w:rsidRPr="008B3BE6">
              <w:rPr>
                <w:rFonts w:ascii="Times New Roman" w:eastAsia="Times New Roman" w:hAnsi="Times New Roman" w:cs="Times New Roman"/>
                <w:sz w:val="21"/>
              </w:rPr>
              <w:t>Cixous</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Nawal</w:t>
            </w:r>
            <w:proofErr w:type="spellEnd"/>
            <w:r w:rsidRPr="008B3BE6">
              <w:rPr>
                <w:rFonts w:ascii="Times New Roman" w:eastAsia="Times New Roman" w:hAnsi="Times New Roman" w:cs="Times New Roman"/>
                <w:sz w:val="21"/>
              </w:rPr>
              <w:t xml:space="preserve"> El </w:t>
            </w:r>
            <w:proofErr w:type="spellStart"/>
            <w:r w:rsidRPr="008B3BE6">
              <w:rPr>
                <w:rFonts w:ascii="Times New Roman" w:eastAsia="Times New Roman" w:hAnsi="Times New Roman" w:cs="Times New Roman"/>
                <w:sz w:val="21"/>
              </w:rPr>
              <w:t>Saadawi</w:t>
            </w:r>
            <w:proofErr w:type="spellEnd"/>
            <w:r w:rsidRPr="008B3BE6">
              <w:rPr>
                <w:rFonts w:ascii="Times New Roman" w:eastAsia="Times New Roman" w:hAnsi="Times New Roman" w:cs="Times New Roman"/>
                <w:sz w:val="21"/>
              </w:rPr>
              <w:t xml:space="preserve">, Judith </w:t>
            </w:r>
            <w:proofErr w:type="spellStart"/>
            <w:r w:rsidRPr="008B3BE6">
              <w:rPr>
                <w:rFonts w:ascii="Times New Roman" w:eastAsia="Times New Roman" w:hAnsi="Times New Roman" w:cs="Times New Roman"/>
                <w:sz w:val="21"/>
              </w:rPr>
              <w:t>Fetterley</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Luce</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Irigaray</w:t>
            </w:r>
            <w:proofErr w:type="spellEnd"/>
            <w:r w:rsidRPr="008B3BE6">
              <w:rPr>
                <w:rFonts w:ascii="Times New Roman" w:eastAsia="Times New Roman" w:hAnsi="Times New Roman" w:cs="Times New Roman"/>
                <w:sz w:val="21"/>
              </w:rPr>
              <w:t xml:space="preserve">, Mary Daly, Nancy </w:t>
            </w:r>
            <w:proofErr w:type="spellStart"/>
            <w:r w:rsidRPr="008B3BE6">
              <w:rPr>
                <w:rFonts w:ascii="Times New Roman" w:eastAsia="Times New Roman" w:hAnsi="Times New Roman" w:cs="Times New Roman"/>
                <w:sz w:val="21"/>
              </w:rPr>
              <w:t>Chodorow</w:t>
            </w:r>
            <w:proofErr w:type="spellEnd"/>
            <w:r w:rsidRPr="008B3BE6">
              <w:rPr>
                <w:rFonts w:ascii="Times New Roman" w:eastAsia="Times New Roman" w:hAnsi="Times New Roman" w:cs="Times New Roman"/>
                <w:sz w:val="21"/>
              </w:rPr>
              <w:t>, Julia</w:t>
            </w:r>
            <w:r w:rsidR="00EA3BFB">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Kristeva</w:t>
            </w:r>
            <w:proofErr w:type="spellEnd"/>
            <w:r w:rsidRPr="008B3BE6">
              <w:rPr>
                <w:rFonts w:ascii="Times New Roman" w:eastAsia="Times New Roman" w:hAnsi="Times New Roman" w:cs="Times New Roman"/>
                <w:sz w:val="21"/>
              </w:rPr>
              <w:t xml:space="preserve">, Audre Lorde, Carol Gilligan, Valerie Amos, Chandra </w:t>
            </w:r>
            <w:proofErr w:type="spellStart"/>
            <w:r w:rsidRPr="008B3BE6">
              <w:rPr>
                <w:rFonts w:ascii="Times New Roman" w:eastAsia="Times New Roman" w:hAnsi="Times New Roman" w:cs="Times New Roman"/>
                <w:sz w:val="21"/>
              </w:rPr>
              <w:t>Talpade</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Mohanty</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Toril</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Moi</w:t>
            </w:r>
            <w:proofErr w:type="spellEnd"/>
            <w:r w:rsidRPr="008B3BE6">
              <w:rPr>
                <w:rFonts w:ascii="Times New Roman" w:eastAsia="Times New Roman" w:hAnsi="Times New Roman" w:cs="Times New Roman"/>
                <w:sz w:val="21"/>
              </w:rPr>
              <w:t>, Gilbert and</w:t>
            </w:r>
            <w:r w:rsidR="00EA3BFB">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Gubar</w:t>
            </w:r>
            <w:proofErr w:type="spellEnd"/>
            <w:r w:rsidRPr="008B3BE6">
              <w:rPr>
                <w:rFonts w:ascii="Times New Roman" w:eastAsia="Times New Roman" w:hAnsi="Times New Roman" w:cs="Times New Roman"/>
                <w:sz w:val="21"/>
              </w:rPr>
              <w:t xml:space="preserve">, Judith Butler, Biddy Martin, Donna J. </w:t>
            </w:r>
            <w:proofErr w:type="spellStart"/>
            <w:r w:rsidRPr="008B3BE6">
              <w:rPr>
                <w:rFonts w:ascii="Times New Roman" w:eastAsia="Times New Roman" w:hAnsi="Times New Roman" w:cs="Times New Roman"/>
                <w:sz w:val="21"/>
              </w:rPr>
              <w:t>Haraway</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Marjane</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Satrapi</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Gayatri</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Chakraworthy</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Spivak</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Azade</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Seyhan</w:t>
            </w:r>
            <w:proofErr w:type="spellEnd"/>
            <w:r w:rsidRPr="008B3BE6">
              <w:rPr>
                <w:rFonts w:ascii="Times New Roman" w:eastAsia="Times New Roman" w:hAnsi="Times New Roman" w:cs="Times New Roman"/>
                <w:sz w:val="21"/>
              </w:rPr>
              <w:t xml:space="preserve">, and </w:t>
            </w:r>
            <w:proofErr w:type="spellStart"/>
            <w:r w:rsidRPr="008B3BE6">
              <w:rPr>
                <w:rFonts w:ascii="Times New Roman" w:eastAsia="Times New Roman" w:hAnsi="Times New Roman" w:cs="Times New Roman"/>
                <w:sz w:val="21"/>
              </w:rPr>
              <w:t>Rosi</w:t>
            </w:r>
            <w:proofErr w:type="spellEnd"/>
            <w:r w:rsidRPr="008B3BE6">
              <w:rPr>
                <w:rFonts w:ascii="Times New Roman" w:eastAsia="Times New Roman" w:hAnsi="Times New Roman" w:cs="Times New Roman"/>
                <w:sz w:val="21"/>
              </w:rPr>
              <w:t xml:space="preserve"> </w:t>
            </w:r>
            <w:proofErr w:type="spellStart"/>
            <w:r w:rsidRPr="008B3BE6">
              <w:rPr>
                <w:rFonts w:ascii="Times New Roman" w:eastAsia="Times New Roman" w:hAnsi="Times New Roman" w:cs="Times New Roman"/>
                <w:sz w:val="21"/>
              </w:rPr>
              <w:t>Braidotti</w:t>
            </w:r>
            <w:proofErr w:type="spellEnd"/>
            <w:r w:rsidRPr="008B3BE6">
              <w:rPr>
                <w:rFonts w:ascii="Times New Roman" w:eastAsia="Times New Roman" w:hAnsi="Times New Roman" w:cs="Times New Roman"/>
                <w:sz w:val="21"/>
              </w:rPr>
              <w:t>.</w:t>
            </w:r>
            <w:proofErr w:type="gramEnd"/>
            <w:r w:rsidRPr="008B3BE6">
              <w:rPr>
                <w:rFonts w:ascii="Times New Roman" w:eastAsia="Times New Roman" w:hAnsi="Times New Roman" w:cs="Times New Roman"/>
                <w:sz w:val="21"/>
              </w:rPr>
              <w:t xml:space="preserve"> Special emphasis </w:t>
            </w:r>
            <w:proofErr w:type="gramStart"/>
            <w:r w:rsidRPr="008B3BE6">
              <w:rPr>
                <w:rFonts w:ascii="Times New Roman" w:eastAsia="Times New Roman" w:hAnsi="Times New Roman" w:cs="Times New Roman"/>
                <w:sz w:val="21"/>
              </w:rPr>
              <w:t>is placed</w:t>
            </w:r>
            <w:proofErr w:type="gramEnd"/>
            <w:r w:rsidRPr="008B3BE6">
              <w:rPr>
                <w:rFonts w:ascii="Times New Roman" w:eastAsia="Times New Roman" w:hAnsi="Times New Roman" w:cs="Times New Roman"/>
                <w:sz w:val="21"/>
              </w:rPr>
              <w:t xml:space="preserve"> on the current possibilities of transnational feminism in literature, which will be illustrated and encouraged through consideration of the contemporary literary production of women living in exile and diaspora in the English-speaking area and writing on the border between two or more cultures.</w:t>
            </w:r>
          </w:p>
          <w:p w:rsidR="00BA16BD" w:rsidRDefault="008B3BE6" w:rsidP="008B3BE6">
            <w:r w:rsidRPr="008B3BE6">
              <w:rPr>
                <w:rFonts w:ascii="Times New Roman" w:eastAsia="Times New Roman" w:hAnsi="Times New Roman" w:cs="Times New Roman"/>
                <w:sz w:val="21"/>
              </w:rPr>
              <w:t>​</w:t>
            </w:r>
          </w:p>
        </w:tc>
      </w:tr>
      <w:tr w:rsidR="00EA3BFB">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EA3BFB" w:rsidRPr="00685E2F" w:rsidRDefault="00EA3BFB" w:rsidP="00EA3BFB">
            <w:pPr>
              <w:rPr>
                <w:sz w:val="24"/>
                <w:szCs w:val="24"/>
              </w:rPr>
            </w:pPr>
            <w:r w:rsidRPr="00685E2F">
              <w:rPr>
                <w:rFonts w:ascii="Times New Roman" w:eastAsia="Times New Roman" w:hAnsi="Times New Roman" w:cs="Times New Roman"/>
                <w:b/>
                <w:sz w:val="24"/>
                <w:szCs w:val="24"/>
              </w:rPr>
              <w:t>Teaching methods and mastering the material:</w:t>
            </w:r>
          </w:p>
        </w:tc>
      </w:tr>
      <w:tr w:rsidR="00BA16BD">
        <w:trPr>
          <w:trHeight w:val="2719"/>
        </w:trPr>
        <w:tc>
          <w:tcPr>
            <w:tcW w:w="9386" w:type="dxa"/>
            <w:gridSpan w:val="6"/>
            <w:tcBorders>
              <w:top w:val="single" w:sz="4" w:space="0" w:color="000000"/>
              <w:left w:val="single" w:sz="4" w:space="0" w:color="000000"/>
              <w:bottom w:val="single" w:sz="4" w:space="0" w:color="000000"/>
              <w:right w:val="single" w:sz="4" w:space="0" w:color="000000"/>
            </w:tcBorders>
          </w:tcPr>
          <w:p w:rsidR="00EA3BFB" w:rsidRDefault="00EA3BFB">
            <w:pPr>
              <w:rPr>
                <w:rFonts w:ascii="Times New Roman" w:eastAsia="Times New Roman" w:hAnsi="Times New Roman" w:cs="Times New Roman"/>
                <w:sz w:val="21"/>
              </w:rPr>
            </w:pPr>
          </w:p>
          <w:p w:rsidR="00BA16BD" w:rsidRDefault="00EA3BFB" w:rsidP="00EA3BFB">
            <w:pPr>
              <w:jc w:val="both"/>
            </w:pPr>
            <w:r w:rsidRPr="00EA3BFB">
              <w:rPr>
                <w:rFonts w:ascii="Times New Roman" w:eastAsia="Times New Roman" w:hAnsi="Times New Roman" w:cs="Times New Roman"/>
                <w:sz w:val="21"/>
              </w:rPr>
              <w:t xml:space="preserve">After the introductory lectures, students </w:t>
            </w:r>
            <w:proofErr w:type="gramStart"/>
            <w:r w:rsidRPr="00EA3BFB">
              <w:rPr>
                <w:rFonts w:ascii="Times New Roman" w:eastAsia="Times New Roman" w:hAnsi="Times New Roman" w:cs="Times New Roman"/>
                <w:sz w:val="21"/>
              </w:rPr>
              <w:t>are expected</w:t>
            </w:r>
            <w:proofErr w:type="gramEnd"/>
            <w:r w:rsidRPr="00EA3BFB">
              <w:rPr>
                <w:rFonts w:ascii="Times New Roman" w:eastAsia="Times New Roman" w:hAnsi="Times New Roman" w:cs="Times New Roman"/>
                <w:sz w:val="21"/>
              </w:rPr>
              <w:t xml:space="preserve"> to come to the discussion and consultation classes prepared, with the subject material read in advance, so that a constructive, scientifically based exchange of opinions can flow smoothly. </w:t>
            </w:r>
            <w:proofErr w:type="gramStart"/>
            <w:r w:rsidRPr="00EA3BFB">
              <w:rPr>
                <w:rFonts w:ascii="Times New Roman" w:eastAsia="Times New Roman" w:hAnsi="Times New Roman" w:cs="Times New Roman"/>
                <w:sz w:val="21"/>
              </w:rPr>
              <w:t>During the semester, students are required to write and submit three essays, namely: a) a review paper that shows a dialogue between several relevant books that deal with an approach or theoretical framework of the student's choice (3000-4000 words); b) presentation of one of the recent books in the field of feminist theory and criticism (3000-4000 words); c) final, original paper, which, based on the synthesis of what has been learned, offers an independent view of a specific segment of feminist theory, approach or literary work or trend in context (60007000 words).</w:t>
            </w:r>
            <w:proofErr w:type="gramEnd"/>
          </w:p>
        </w:tc>
      </w:tr>
      <w:tr w:rsidR="00BA16B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A16BD" w:rsidRDefault="00EA3BFB">
            <w:r>
              <w:rPr>
                <w:rFonts w:ascii="Times New Roman" w:eastAsia="Times New Roman" w:hAnsi="Times New Roman" w:cs="Times New Roman"/>
                <w:b/>
                <w:sz w:val="21"/>
              </w:rPr>
              <w:t>Literature</w:t>
            </w:r>
            <w:r w:rsidR="00D20D32">
              <w:rPr>
                <w:rFonts w:ascii="Times New Roman" w:eastAsia="Times New Roman" w:hAnsi="Times New Roman" w:cs="Times New Roman"/>
                <w:b/>
                <w:sz w:val="21"/>
              </w:rPr>
              <w:t xml:space="preserve">: </w:t>
            </w:r>
          </w:p>
        </w:tc>
      </w:tr>
      <w:tr w:rsidR="00BA16BD">
        <w:trPr>
          <w:trHeight w:val="5670"/>
        </w:trPr>
        <w:tc>
          <w:tcPr>
            <w:tcW w:w="9386" w:type="dxa"/>
            <w:gridSpan w:val="6"/>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t xml:space="preserve"> </w:t>
            </w:r>
          </w:p>
          <w:p w:rsidR="00BA16BD" w:rsidRDefault="00D20D32">
            <w:pPr>
              <w:spacing w:line="241" w:lineRule="auto"/>
              <w:jc w:val="both"/>
            </w:pPr>
            <w:proofErr w:type="spellStart"/>
            <w:r>
              <w:rPr>
                <w:rFonts w:ascii="Times New Roman" w:eastAsia="Times New Roman" w:hAnsi="Times New Roman" w:cs="Times New Roman"/>
                <w:sz w:val="21"/>
              </w:rPr>
              <w:t>Braidotti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Rosi</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Nomadic Subjects. Embodiment and Sexual Difference in Contemporary Feminist Theory</w:t>
            </w:r>
            <w:r>
              <w:rPr>
                <w:rFonts w:ascii="Times New Roman" w:eastAsia="Times New Roman" w:hAnsi="Times New Roman" w:cs="Times New Roman"/>
                <w:sz w:val="21"/>
              </w:rPr>
              <w:t xml:space="preserve">. New York: Columbia Press, 1994. </w:t>
            </w:r>
          </w:p>
          <w:p w:rsidR="00BA16BD" w:rsidRDefault="00D20D32">
            <w:pPr>
              <w:spacing w:after="5" w:line="236" w:lineRule="auto"/>
              <w:jc w:val="both"/>
            </w:pPr>
            <w:r>
              <w:rPr>
                <w:rFonts w:ascii="Times New Roman" w:eastAsia="Times New Roman" w:hAnsi="Times New Roman" w:cs="Times New Roman"/>
                <w:sz w:val="21"/>
              </w:rPr>
              <w:t xml:space="preserve">Donovan, Josephine. </w:t>
            </w:r>
            <w:r>
              <w:rPr>
                <w:rFonts w:ascii="Times New Roman" w:eastAsia="Times New Roman" w:hAnsi="Times New Roman" w:cs="Times New Roman"/>
                <w:i/>
                <w:sz w:val="21"/>
              </w:rPr>
              <w:t>Feminist Theory. The Intellectual Traditions</w:t>
            </w:r>
            <w:r>
              <w:rPr>
                <w:rFonts w:ascii="Times New Roman" w:eastAsia="Times New Roman" w:hAnsi="Times New Roman" w:cs="Times New Roman"/>
                <w:sz w:val="21"/>
              </w:rPr>
              <w:t xml:space="preserve">. New York: Continuum International Publishing Group, 2012. </w:t>
            </w:r>
          </w:p>
          <w:p w:rsidR="00BA16BD" w:rsidRDefault="00D20D32">
            <w:r>
              <w:rPr>
                <w:rFonts w:ascii="Times New Roman" w:eastAsia="Times New Roman" w:hAnsi="Times New Roman" w:cs="Times New Roman"/>
                <w:sz w:val="21"/>
              </w:rPr>
              <w:t xml:space="preserve">Eagleton, Mary. </w:t>
            </w:r>
            <w:r>
              <w:rPr>
                <w:rFonts w:ascii="Times New Roman" w:eastAsia="Times New Roman" w:hAnsi="Times New Roman" w:cs="Times New Roman"/>
                <w:i/>
                <w:sz w:val="21"/>
              </w:rPr>
              <w:t>A Concise Companion to Feminist Theory</w:t>
            </w:r>
            <w:r>
              <w:rPr>
                <w:rFonts w:ascii="Times New Roman" w:eastAsia="Times New Roman" w:hAnsi="Times New Roman" w:cs="Times New Roman"/>
                <w:sz w:val="21"/>
              </w:rPr>
              <w:t xml:space="preserve">. Oxford: Blackwell Publishing, 2003. </w:t>
            </w:r>
          </w:p>
          <w:p w:rsidR="00BA16BD" w:rsidRDefault="00D20D32">
            <w:proofErr w:type="spellStart"/>
            <w:r>
              <w:rPr>
                <w:rFonts w:ascii="Times New Roman" w:eastAsia="Times New Roman" w:hAnsi="Times New Roman" w:cs="Times New Roman"/>
                <w:sz w:val="21"/>
              </w:rPr>
              <w:t>Felski</w:t>
            </w:r>
            <w:proofErr w:type="spellEnd"/>
            <w:r>
              <w:rPr>
                <w:rFonts w:ascii="Times New Roman" w:eastAsia="Times New Roman" w:hAnsi="Times New Roman" w:cs="Times New Roman"/>
                <w:sz w:val="21"/>
              </w:rPr>
              <w:t xml:space="preserve">, Rita. </w:t>
            </w:r>
            <w:r>
              <w:rPr>
                <w:rFonts w:ascii="Times New Roman" w:eastAsia="Times New Roman" w:hAnsi="Times New Roman" w:cs="Times New Roman"/>
                <w:i/>
                <w:sz w:val="21"/>
              </w:rPr>
              <w:t>Literature After Feminism</w:t>
            </w:r>
            <w:r>
              <w:rPr>
                <w:rFonts w:ascii="Times New Roman" w:eastAsia="Times New Roman" w:hAnsi="Times New Roman" w:cs="Times New Roman"/>
                <w:sz w:val="21"/>
              </w:rPr>
              <w:t xml:space="preserve">. Chicago: The University of Chicago Press, 2003. </w:t>
            </w:r>
          </w:p>
          <w:p w:rsidR="00BA16BD" w:rsidRDefault="00D20D32">
            <w:r>
              <w:rPr>
                <w:rFonts w:ascii="Times New Roman" w:eastAsia="Times New Roman" w:hAnsi="Times New Roman" w:cs="Times New Roman"/>
                <w:sz w:val="21"/>
              </w:rPr>
              <w:t xml:space="preserve">Gilbert, Sandra M. &amp; Susan </w:t>
            </w:r>
            <w:proofErr w:type="spellStart"/>
            <w:r>
              <w:rPr>
                <w:rFonts w:ascii="Times New Roman" w:eastAsia="Times New Roman" w:hAnsi="Times New Roman" w:cs="Times New Roman"/>
                <w:sz w:val="21"/>
              </w:rPr>
              <w:t>Gubar</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Feminist Literary Theory and Criticism. A Norton Reader</w:t>
            </w:r>
            <w:r>
              <w:rPr>
                <w:rFonts w:ascii="Times New Roman" w:eastAsia="Times New Roman" w:hAnsi="Times New Roman" w:cs="Times New Roman"/>
                <w:sz w:val="21"/>
              </w:rPr>
              <w:t xml:space="preserve">. W. W. </w:t>
            </w:r>
          </w:p>
          <w:p w:rsidR="00BA16BD" w:rsidRDefault="00D20D32">
            <w:r>
              <w:rPr>
                <w:rFonts w:ascii="Times New Roman" w:eastAsia="Times New Roman" w:hAnsi="Times New Roman" w:cs="Times New Roman"/>
                <w:sz w:val="21"/>
              </w:rPr>
              <w:t xml:space="preserve">Norton &amp; Co., 2007. </w:t>
            </w:r>
          </w:p>
          <w:p w:rsidR="00BA16BD" w:rsidRDefault="00D20D32">
            <w:pPr>
              <w:spacing w:line="241" w:lineRule="auto"/>
            </w:pPr>
            <w:r>
              <w:rPr>
                <w:rFonts w:ascii="Times New Roman" w:eastAsia="Times New Roman" w:hAnsi="Times New Roman" w:cs="Times New Roman"/>
                <w:sz w:val="21"/>
              </w:rPr>
              <w:t xml:space="preserve">Gills, Stacy, Howie, Gillian and Munford, Rebecca (eds.) </w:t>
            </w:r>
            <w:r>
              <w:rPr>
                <w:rFonts w:ascii="Times New Roman" w:eastAsia="Times New Roman" w:hAnsi="Times New Roman" w:cs="Times New Roman"/>
                <w:i/>
                <w:sz w:val="21"/>
              </w:rPr>
              <w:t>Third</w:t>
            </w:r>
            <w:r>
              <w:rPr>
                <w:rFonts w:ascii="Times New Roman" w:eastAsia="Times New Roman" w:hAnsi="Times New Roman" w:cs="Times New Roman"/>
                <w:sz w:val="21"/>
              </w:rPr>
              <w:t xml:space="preserve"> </w:t>
            </w:r>
            <w:r>
              <w:rPr>
                <w:rFonts w:ascii="Times New Roman" w:eastAsia="Times New Roman" w:hAnsi="Times New Roman" w:cs="Times New Roman"/>
                <w:i/>
                <w:sz w:val="21"/>
              </w:rPr>
              <w:t>Wave Feminism. Expanded Second Edition</w:t>
            </w:r>
            <w:r>
              <w:rPr>
                <w:rFonts w:ascii="Times New Roman" w:eastAsia="Times New Roman" w:hAnsi="Times New Roman" w:cs="Times New Roman"/>
                <w:sz w:val="21"/>
              </w:rPr>
              <w:t xml:space="preserve">, Basingstoke: Palgrave Macmillan, 2007. </w:t>
            </w:r>
          </w:p>
          <w:p w:rsidR="00BA16BD" w:rsidRDefault="00D20D32">
            <w:pPr>
              <w:spacing w:line="241" w:lineRule="auto"/>
            </w:pPr>
            <w:r>
              <w:rPr>
                <w:rFonts w:ascii="Times New Roman" w:eastAsia="Times New Roman" w:hAnsi="Times New Roman" w:cs="Times New Roman"/>
                <w:sz w:val="21"/>
              </w:rPr>
              <w:t xml:space="preserve">Harris, Sharon M. &amp; Linda K. Hughes. </w:t>
            </w:r>
            <w:r>
              <w:rPr>
                <w:rFonts w:ascii="Times New Roman" w:eastAsia="Times New Roman" w:hAnsi="Times New Roman" w:cs="Times New Roman"/>
                <w:i/>
                <w:sz w:val="21"/>
              </w:rPr>
              <w:t xml:space="preserve">A Feminist Reader. Feminist Thought from Sappho to </w:t>
            </w:r>
            <w:proofErr w:type="spellStart"/>
            <w:r>
              <w:rPr>
                <w:rFonts w:ascii="Times New Roman" w:eastAsia="Times New Roman" w:hAnsi="Times New Roman" w:cs="Times New Roman"/>
                <w:i/>
                <w:sz w:val="21"/>
              </w:rPr>
              <w:t>Satrapi</w:t>
            </w:r>
            <w:proofErr w:type="spellEnd"/>
            <w:r>
              <w:rPr>
                <w:rFonts w:ascii="Times New Roman" w:eastAsia="Times New Roman" w:hAnsi="Times New Roman" w:cs="Times New Roman"/>
                <w:sz w:val="21"/>
              </w:rPr>
              <w:t xml:space="preserve">. Vol I, Antiquity to 1800. Cambridge: Cambridge University Press, 2013. </w:t>
            </w:r>
          </w:p>
          <w:p w:rsidR="00BA16BD" w:rsidRDefault="00D20D32">
            <w:pPr>
              <w:spacing w:after="5" w:line="236" w:lineRule="auto"/>
            </w:pPr>
            <w:r>
              <w:rPr>
                <w:rFonts w:ascii="Times New Roman" w:eastAsia="Times New Roman" w:hAnsi="Times New Roman" w:cs="Times New Roman"/>
                <w:sz w:val="21"/>
              </w:rPr>
              <w:t xml:space="preserve">Harris, Sharon M. &amp; Linda K. Hughes. </w:t>
            </w:r>
            <w:r>
              <w:rPr>
                <w:rFonts w:ascii="Times New Roman" w:eastAsia="Times New Roman" w:hAnsi="Times New Roman" w:cs="Times New Roman"/>
                <w:i/>
                <w:sz w:val="21"/>
              </w:rPr>
              <w:t xml:space="preserve">A Feminist Reader. Feminist Thought from Sappho to </w:t>
            </w:r>
            <w:proofErr w:type="spellStart"/>
            <w:r>
              <w:rPr>
                <w:rFonts w:ascii="Times New Roman" w:eastAsia="Times New Roman" w:hAnsi="Times New Roman" w:cs="Times New Roman"/>
                <w:i/>
                <w:sz w:val="21"/>
              </w:rPr>
              <w:t>Satrapi</w:t>
            </w:r>
            <w:proofErr w:type="spellEnd"/>
            <w:r>
              <w:rPr>
                <w:rFonts w:ascii="Times New Roman" w:eastAsia="Times New Roman" w:hAnsi="Times New Roman" w:cs="Times New Roman"/>
                <w:sz w:val="21"/>
              </w:rPr>
              <w:t xml:space="preserve">. Vol II, 1801-1900. Cambridge: Cambridge University Press, 2013. </w:t>
            </w:r>
          </w:p>
          <w:p w:rsidR="00BA16BD" w:rsidRDefault="00D20D32">
            <w:pPr>
              <w:spacing w:after="5" w:line="236" w:lineRule="auto"/>
            </w:pPr>
            <w:r>
              <w:rPr>
                <w:rFonts w:ascii="Times New Roman" w:eastAsia="Times New Roman" w:hAnsi="Times New Roman" w:cs="Times New Roman"/>
                <w:sz w:val="21"/>
              </w:rPr>
              <w:t xml:space="preserve">Harris, Sharon M. &amp; Linda K. Hughes. </w:t>
            </w:r>
            <w:r>
              <w:rPr>
                <w:rFonts w:ascii="Times New Roman" w:eastAsia="Times New Roman" w:hAnsi="Times New Roman" w:cs="Times New Roman"/>
                <w:i/>
                <w:sz w:val="21"/>
              </w:rPr>
              <w:t xml:space="preserve">A Feminist Reader. Feminist Thought from Sappho to </w:t>
            </w:r>
            <w:proofErr w:type="spellStart"/>
            <w:r>
              <w:rPr>
                <w:rFonts w:ascii="Times New Roman" w:eastAsia="Times New Roman" w:hAnsi="Times New Roman" w:cs="Times New Roman"/>
                <w:i/>
                <w:sz w:val="21"/>
              </w:rPr>
              <w:t>Satrapi</w:t>
            </w:r>
            <w:proofErr w:type="spellEnd"/>
            <w:r>
              <w:rPr>
                <w:rFonts w:ascii="Times New Roman" w:eastAsia="Times New Roman" w:hAnsi="Times New Roman" w:cs="Times New Roman"/>
                <w:sz w:val="21"/>
              </w:rPr>
              <w:t xml:space="preserve">. Vol III, 1901-1980. Cambridge: Cambridge University Press, 2013. </w:t>
            </w:r>
          </w:p>
          <w:p w:rsidR="00BA16BD" w:rsidRDefault="00D20D32">
            <w:pPr>
              <w:spacing w:after="10" w:line="231" w:lineRule="auto"/>
            </w:pPr>
            <w:r>
              <w:rPr>
                <w:rFonts w:ascii="Times New Roman" w:eastAsia="Times New Roman" w:hAnsi="Times New Roman" w:cs="Times New Roman"/>
                <w:sz w:val="21"/>
              </w:rPr>
              <w:t xml:space="preserve">Harris, Sharon M. &amp; Linda K. Hughes. </w:t>
            </w:r>
            <w:r>
              <w:rPr>
                <w:rFonts w:ascii="Times New Roman" w:eastAsia="Times New Roman" w:hAnsi="Times New Roman" w:cs="Times New Roman"/>
                <w:i/>
                <w:sz w:val="21"/>
              </w:rPr>
              <w:t xml:space="preserve">A Feminist Reader. Feminist Thought from Sappho to </w:t>
            </w:r>
            <w:proofErr w:type="spellStart"/>
            <w:r>
              <w:rPr>
                <w:rFonts w:ascii="Times New Roman" w:eastAsia="Times New Roman" w:hAnsi="Times New Roman" w:cs="Times New Roman"/>
                <w:i/>
                <w:sz w:val="21"/>
              </w:rPr>
              <w:t>Satrapi</w:t>
            </w:r>
            <w:proofErr w:type="spellEnd"/>
            <w:r>
              <w:rPr>
                <w:rFonts w:ascii="Times New Roman" w:eastAsia="Times New Roman" w:hAnsi="Times New Roman" w:cs="Times New Roman"/>
                <w:sz w:val="21"/>
              </w:rPr>
              <w:t xml:space="preserve">. Vol IV, 1981-2003. Cambridge: Cambridge University Press, 2013. </w:t>
            </w:r>
          </w:p>
          <w:p w:rsidR="00BA16BD" w:rsidRDefault="00D20D32">
            <w:pPr>
              <w:spacing w:line="236" w:lineRule="auto"/>
            </w:pPr>
            <w:proofErr w:type="spellStart"/>
            <w:r>
              <w:rPr>
                <w:rFonts w:ascii="Times New Roman" w:eastAsia="Times New Roman" w:hAnsi="Times New Roman" w:cs="Times New Roman"/>
                <w:sz w:val="21"/>
              </w:rPr>
              <w:t>Seyhan</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Azade</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Writing Outside the Nation</w:t>
            </w:r>
            <w:r>
              <w:rPr>
                <w:rFonts w:ascii="Times New Roman" w:eastAsia="Times New Roman" w:hAnsi="Times New Roman" w:cs="Times New Roman"/>
                <w:sz w:val="21"/>
              </w:rPr>
              <w:t xml:space="preserve">. Princeton and Oxford: Princeton University Press, 2001. </w:t>
            </w:r>
            <w:proofErr w:type="spellStart"/>
            <w:r>
              <w:rPr>
                <w:rFonts w:ascii="Times New Roman" w:eastAsia="Times New Roman" w:hAnsi="Times New Roman" w:cs="Times New Roman"/>
                <w:sz w:val="21"/>
              </w:rPr>
              <w:t>Strehle</w:t>
            </w:r>
            <w:proofErr w:type="spellEnd"/>
            <w:r>
              <w:rPr>
                <w:rFonts w:ascii="Times New Roman" w:eastAsia="Times New Roman" w:hAnsi="Times New Roman" w:cs="Times New Roman"/>
                <w:sz w:val="21"/>
              </w:rPr>
              <w:t xml:space="preserve">, Susan. </w:t>
            </w:r>
            <w:r>
              <w:rPr>
                <w:rFonts w:ascii="Times New Roman" w:eastAsia="Times New Roman" w:hAnsi="Times New Roman" w:cs="Times New Roman"/>
                <w:i/>
                <w:sz w:val="21"/>
              </w:rPr>
              <w:t>Transnational Women’s Fiction. Unsettling Home and Homeland</w:t>
            </w:r>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Basingstroke</w:t>
            </w:r>
            <w:proofErr w:type="spellEnd"/>
            <w:r>
              <w:rPr>
                <w:rFonts w:ascii="Times New Roman" w:eastAsia="Times New Roman" w:hAnsi="Times New Roman" w:cs="Times New Roman"/>
                <w:sz w:val="21"/>
              </w:rPr>
              <w:t xml:space="preserve">: </w:t>
            </w:r>
          </w:p>
          <w:p w:rsidR="00BA16BD" w:rsidRDefault="00D20D32">
            <w:r>
              <w:rPr>
                <w:rFonts w:ascii="Times New Roman" w:eastAsia="Times New Roman" w:hAnsi="Times New Roman" w:cs="Times New Roman"/>
                <w:sz w:val="21"/>
              </w:rPr>
              <w:t xml:space="preserve">Palgrave Macmillan, 2008. </w:t>
            </w:r>
          </w:p>
          <w:p w:rsidR="00BA16BD" w:rsidRDefault="00D20D32">
            <w:r>
              <w:rPr>
                <w:rFonts w:ascii="Times New Roman" w:eastAsia="Times New Roman" w:hAnsi="Times New Roman" w:cs="Times New Roman"/>
                <w:sz w:val="21"/>
              </w:rPr>
              <w:t xml:space="preserve">Warhol-Down, Robin and Diane Price </w:t>
            </w:r>
            <w:proofErr w:type="spellStart"/>
            <w:r>
              <w:rPr>
                <w:rFonts w:ascii="Times New Roman" w:eastAsia="Times New Roman" w:hAnsi="Times New Roman" w:cs="Times New Roman"/>
                <w:sz w:val="21"/>
              </w:rPr>
              <w:t>Herndl</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Feminisms </w:t>
            </w:r>
            <w:proofErr w:type="spellStart"/>
            <w:r>
              <w:rPr>
                <w:rFonts w:ascii="Times New Roman" w:eastAsia="Times New Roman" w:hAnsi="Times New Roman" w:cs="Times New Roman"/>
                <w:i/>
                <w:sz w:val="21"/>
              </w:rPr>
              <w:t>Redux</w:t>
            </w:r>
            <w:proofErr w:type="spellEnd"/>
            <w:r>
              <w:rPr>
                <w:rFonts w:ascii="Times New Roman" w:eastAsia="Times New Roman" w:hAnsi="Times New Roman" w:cs="Times New Roman"/>
                <w:i/>
                <w:sz w:val="21"/>
              </w:rPr>
              <w:t xml:space="preserve"> – an anthology of literary theory and </w:t>
            </w:r>
          </w:p>
        </w:tc>
      </w:tr>
      <w:tr w:rsidR="00BA16BD">
        <w:trPr>
          <w:trHeight w:val="750"/>
        </w:trPr>
        <w:tc>
          <w:tcPr>
            <w:tcW w:w="9386" w:type="dxa"/>
            <w:gridSpan w:val="6"/>
            <w:tcBorders>
              <w:top w:val="single" w:sz="4" w:space="0" w:color="000000"/>
              <w:left w:val="single" w:sz="4" w:space="0" w:color="000000"/>
              <w:bottom w:val="single" w:sz="4" w:space="0" w:color="000000"/>
              <w:right w:val="single" w:sz="4" w:space="0" w:color="000000"/>
            </w:tcBorders>
          </w:tcPr>
          <w:p w:rsidR="00BA16BD" w:rsidRDefault="00D20D32">
            <w:pPr>
              <w:ind w:left="1"/>
            </w:pPr>
            <w:proofErr w:type="gramStart"/>
            <w:r>
              <w:rPr>
                <w:rFonts w:ascii="Times New Roman" w:eastAsia="Times New Roman" w:hAnsi="Times New Roman" w:cs="Times New Roman"/>
                <w:i/>
                <w:sz w:val="21"/>
              </w:rPr>
              <w:t>criticism</w:t>
            </w:r>
            <w:proofErr w:type="gramEnd"/>
            <w:r>
              <w:rPr>
                <w:rFonts w:ascii="Times New Roman" w:eastAsia="Times New Roman" w:hAnsi="Times New Roman" w:cs="Times New Roman"/>
                <w:sz w:val="21"/>
              </w:rPr>
              <w:t xml:space="preserve">, Rutgers University Press, New Brunswick, 2009. </w:t>
            </w:r>
          </w:p>
          <w:p w:rsidR="00BA16BD" w:rsidRDefault="00D20D32">
            <w:pPr>
              <w:ind w:left="1"/>
            </w:pPr>
            <w:r>
              <w:rPr>
                <w:rFonts w:ascii="Times New Roman" w:eastAsia="Times New Roman" w:hAnsi="Times New Roman" w:cs="Times New Roman"/>
                <w:sz w:val="21"/>
              </w:rPr>
              <w:t xml:space="preserve">Warhol, Robin and Diane Price </w:t>
            </w:r>
            <w:proofErr w:type="spellStart"/>
            <w:r>
              <w:rPr>
                <w:rFonts w:ascii="Times New Roman" w:eastAsia="Times New Roman" w:hAnsi="Times New Roman" w:cs="Times New Roman"/>
                <w:sz w:val="21"/>
              </w:rPr>
              <w:t>Herndl</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Feminisms – an anthology of literary theory and criticism</w:t>
            </w:r>
            <w:r>
              <w:rPr>
                <w:rFonts w:ascii="Times New Roman" w:eastAsia="Times New Roman" w:hAnsi="Times New Roman" w:cs="Times New Roman"/>
                <w:sz w:val="21"/>
              </w:rPr>
              <w:t xml:space="preserve">, Rutgers University Press, New Brunswick, 1993. </w:t>
            </w:r>
          </w:p>
        </w:tc>
      </w:tr>
      <w:tr w:rsidR="00BA16B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A16BD" w:rsidRDefault="00EA3BFB">
            <w:pPr>
              <w:ind w:left="1"/>
            </w:pPr>
            <w:r w:rsidRPr="00685E2F">
              <w:rPr>
                <w:rFonts w:ascii="Times New Roman" w:eastAsia="Times New Roman" w:hAnsi="Times New Roman" w:cs="Times New Roman"/>
                <w:b/>
                <w:sz w:val="24"/>
                <w:szCs w:val="24"/>
              </w:rPr>
              <w:t>Forms of knowledge testing and assessment</w:t>
            </w:r>
            <w:r w:rsidR="00D20D32">
              <w:rPr>
                <w:rFonts w:ascii="Times New Roman" w:eastAsia="Times New Roman" w:hAnsi="Times New Roman" w:cs="Times New Roman"/>
                <w:b/>
                <w:sz w:val="21"/>
              </w:rPr>
              <w:t xml:space="preserve">: </w:t>
            </w:r>
          </w:p>
        </w:tc>
      </w:tr>
      <w:tr w:rsidR="00BA16BD">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BA16BD" w:rsidRDefault="00D20D32">
            <w:pPr>
              <w:ind w:left="1"/>
            </w:pPr>
            <w:r>
              <w:rPr>
                <w:rFonts w:ascii="Times New Roman" w:eastAsia="Times New Roman" w:hAnsi="Times New Roman" w:cs="Times New Roman"/>
                <w:sz w:val="21"/>
              </w:rPr>
              <w:t xml:space="preserve"> </w:t>
            </w:r>
          </w:p>
        </w:tc>
      </w:tr>
      <w:tr w:rsidR="00BA16BD" w:rsidTr="00EA3BFB">
        <w:trPr>
          <w:trHeight w:val="499"/>
        </w:trPr>
        <w:tc>
          <w:tcPr>
            <w:tcW w:w="2511" w:type="dxa"/>
            <w:tcBorders>
              <w:top w:val="single" w:sz="4" w:space="0" w:color="000000"/>
              <w:left w:val="single" w:sz="4" w:space="0" w:color="000000"/>
              <w:bottom w:val="single" w:sz="4" w:space="0" w:color="000000"/>
              <w:right w:val="single" w:sz="4" w:space="0" w:color="000000"/>
            </w:tcBorders>
          </w:tcPr>
          <w:p w:rsidR="00BA16BD" w:rsidRDefault="00EA3BFB">
            <w:pPr>
              <w:ind w:left="1"/>
            </w:pPr>
            <w:r>
              <w:rPr>
                <w:rFonts w:ascii="Times New Roman" w:eastAsia="Times New Roman" w:hAnsi="Times New Roman" w:cs="Times New Roman"/>
                <w:sz w:val="21"/>
              </w:rPr>
              <w:t>First essay</w:t>
            </w:r>
          </w:p>
        </w:tc>
        <w:tc>
          <w:tcPr>
            <w:tcW w:w="1445" w:type="dxa"/>
            <w:tcBorders>
              <w:top w:val="single" w:sz="4" w:space="0" w:color="000000"/>
              <w:left w:val="single" w:sz="4" w:space="0" w:color="000000"/>
              <w:bottom w:val="single" w:sz="4" w:space="0" w:color="000000"/>
              <w:right w:val="single" w:sz="4" w:space="0" w:color="000000"/>
            </w:tcBorders>
          </w:tcPr>
          <w:p w:rsidR="00BA16BD" w:rsidRDefault="00EA3BFB">
            <w:pPr>
              <w:ind w:left="5"/>
            </w:pPr>
            <w:r>
              <w:rPr>
                <w:rFonts w:ascii="Times New Roman" w:eastAsia="Times New Roman" w:hAnsi="Times New Roman" w:cs="Times New Roman"/>
                <w:sz w:val="20"/>
              </w:rPr>
              <w:t>3000-4000 words</w:t>
            </w:r>
            <w:r w:rsidR="00D20D32">
              <w:rPr>
                <w:rFonts w:ascii="Times New Roman" w:eastAsia="Times New Roman" w:hAnsi="Times New Roman" w:cs="Times New Roman"/>
                <w:sz w:val="20"/>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t xml:space="preserve">25% </w:t>
            </w:r>
          </w:p>
        </w:tc>
        <w:tc>
          <w:tcPr>
            <w:tcW w:w="2016" w:type="dxa"/>
            <w:tcBorders>
              <w:top w:val="single" w:sz="4" w:space="0" w:color="000000"/>
              <w:left w:val="single" w:sz="4" w:space="0" w:color="000000"/>
              <w:bottom w:val="single" w:sz="4" w:space="0" w:color="000000"/>
              <w:right w:val="single" w:sz="4" w:space="0" w:color="000000"/>
            </w:tcBorders>
          </w:tcPr>
          <w:p w:rsidR="00BA16BD" w:rsidRDefault="00EA3BFB">
            <w:r>
              <w:rPr>
                <w:rFonts w:ascii="Times New Roman" w:eastAsia="Times New Roman" w:hAnsi="Times New Roman" w:cs="Times New Roman"/>
                <w:sz w:val="20"/>
              </w:rPr>
              <w:t xml:space="preserve"> Third essay</w:t>
            </w:r>
          </w:p>
        </w:tc>
        <w:tc>
          <w:tcPr>
            <w:tcW w:w="1488" w:type="dxa"/>
            <w:tcBorders>
              <w:top w:val="single" w:sz="4" w:space="0" w:color="000000"/>
              <w:left w:val="single" w:sz="4" w:space="0" w:color="000000"/>
              <w:bottom w:val="single" w:sz="4" w:space="0" w:color="000000"/>
              <w:right w:val="single" w:sz="4" w:space="0" w:color="000000"/>
            </w:tcBorders>
          </w:tcPr>
          <w:p w:rsidR="00BA16BD" w:rsidRDefault="00EA3BFB">
            <w:pPr>
              <w:ind w:left="5"/>
            </w:pPr>
            <w:r>
              <w:rPr>
                <w:rFonts w:ascii="Times New Roman" w:eastAsia="Times New Roman" w:hAnsi="Times New Roman" w:cs="Times New Roman"/>
                <w:sz w:val="21"/>
              </w:rPr>
              <w:t>6000-7000 words</w:t>
            </w:r>
            <w:r w:rsidR="00D20D32">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0"/>
              </w:rPr>
              <w:t xml:space="preserve">50% </w:t>
            </w:r>
          </w:p>
        </w:tc>
      </w:tr>
      <w:tr w:rsidR="00BA16BD" w:rsidTr="00EA3BFB">
        <w:trPr>
          <w:trHeight w:val="457"/>
        </w:trPr>
        <w:tc>
          <w:tcPr>
            <w:tcW w:w="2511" w:type="dxa"/>
            <w:tcBorders>
              <w:top w:val="single" w:sz="4" w:space="0" w:color="000000"/>
              <w:left w:val="single" w:sz="4" w:space="0" w:color="000000"/>
              <w:bottom w:val="single" w:sz="4" w:space="0" w:color="000000"/>
              <w:right w:val="single" w:sz="4" w:space="0" w:color="000000"/>
            </w:tcBorders>
          </w:tcPr>
          <w:p w:rsidR="00BA16BD" w:rsidRDefault="00EA3BFB">
            <w:pPr>
              <w:ind w:left="1"/>
            </w:pPr>
            <w:r>
              <w:rPr>
                <w:rFonts w:ascii="Times New Roman" w:eastAsia="Times New Roman" w:hAnsi="Times New Roman" w:cs="Times New Roman"/>
                <w:sz w:val="21"/>
              </w:rPr>
              <w:t>Second essay</w:t>
            </w:r>
          </w:p>
        </w:tc>
        <w:tc>
          <w:tcPr>
            <w:tcW w:w="1445" w:type="dxa"/>
            <w:tcBorders>
              <w:top w:val="single" w:sz="4" w:space="0" w:color="000000"/>
              <w:left w:val="single" w:sz="4" w:space="0" w:color="000000"/>
              <w:bottom w:val="single" w:sz="4" w:space="0" w:color="000000"/>
              <w:right w:val="single" w:sz="4" w:space="0" w:color="000000"/>
            </w:tcBorders>
          </w:tcPr>
          <w:p w:rsidR="00BA16BD" w:rsidRDefault="00EA3BFB">
            <w:pPr>
              <w:ind w:left="5"/>
            </w:pPr>
            <w:r>
              <w:rPr>
                <w:rFonts w:ascii="Times New Roman" w:eastAsia="Times New Roman" w:hAnsi="Times New Roman" w:cs="Times New Roman"/>
                <w:sz w:val="20"/>
              </w:rPr>
              <w:t>3000-4000 words</w:t>
            </w:r>
            <w:r w:rsidR="00D20D32">
              <w:rPr>
                <w:rFonts w:ascii="Times New Roman" w:eastAsia="Times New Roman" w:hAnsi="Times New Roman" w:cs="Times New Roman"/>
                <w:sz w:val="20"/>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t xml:space="preserve">25% </w:t>
            </w:r>
          </w:p>
        </w:tc>
        <w:tc>
          <w:tcPr>
            <w:tcW w:w="2016" w:type="dxa"/>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BA16BD" w:rsidRDefault="00D20D32">
            <w:pPr>
              <w:ind w:left="5"/>
            </w:pPr>
            <w:r>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BA16BD" w:rsidRDefault="00D20D32">
            <w:r>
              <w:rPr>
                <w:rFonts w:ascii="Times New Roman" w:eastAsia="Times New Roman" w:hAnsi="Times New Roman" w:cs="Times New Roman"/>
                <w:sz w:val="21"/>
              </w:rPr>
              <w:t xml:space="preserve"> </w:t>
            </w:r>
          </w:p>
        </w:tc>
      </w:tr>
      <w:tr w:rsidR="00BA16B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A16BD" w:rsidRDefault="00EA3BFB">
            <w:pPr>
              <w:ind w:left="1"/>
            </w:pPr>
            <w:r>
              <w:rPr>
                <w:rFonts w:ascii="Times New Roman" w:eastAsia="Times New Roman" w:hAnsi="Times New Roman" w:cs="Times New Roman"/>
                <w:b/>
                <w:sz w:val="21"/>
              </w:rPr>
              <w:t>Special indication for the subject:</w:t>
            </w:r>
          </w:p>
        </w:tc>
      </w:tr>
      <w:tr w:rsidR="00BA16BD">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BA16BD" w:rsidRDefault="00D20D32">
            <w:pPr>
              <w:ind w:left="1"/>
            </w:pPr>
            <w:r>
              <w:rPr>
                <w:rFonts w:ascii="Times New Roman" w:eastAsia="Times New Roman" w:hAnsi="Times New Roman" w:cs="Times New Roman"/>
                <w:sz w:val="21"/>
              </w:rPr>
              <w:t xml:space="preserve"> </w:t>
            </w:r>
          </w:p>
        </w:tc>
      </w:tr>
      <w:tr w:rsidR="00BA16B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BA16BD" w:rsidRDefault="00EA3BFB">
            <w:pPr>
              <w:ind w:left="1"/>
            </w:pPr>
            <w:r>
              <w:rPr>
                <w:rFonts w:ascii="Times New Roman" w:eastAsia="Times New Roman" w:hAnsi="Times New Roman" w:cs="Times New Roman"/>
                <w:b/>
                <w:sz w:val="21"/>
              </w:rPr>
              <w:t>Name and surname of the professor</w:t>
            </w:r>
            <w:bookmarkStart w:id="0" w:name="_GoBack"/>
            <w:bookmarkEnd w:id="0"/>
            <w:r w:rsidRPr="00EA3BFB">
              <w:rPr>
                <w:rFonts w:ascii="Times New Roman" w:eastAsia="Times New Roman" w:hAnsi="Times New Roman" w:cs="Times New Roman"/>
                <w:b/>
                <w:sz w:val="21"/>
              </w:rPr>
              <w:t xml:space="preserve"> who prepared the data: Prof. Dr. </w:t>
            </w:r>
            <w:proofErr w:type="spellStart"/>
            <w:r w:rsidRPr="00EA3BFB">
              <w:rPr>
                <w:rFonts w:ascii="Times New Roman" w:eastAsia="Times New Roman" w:hAnsi="Times New Roman" w:cs="Times New Roman"/>
                <w:b/>
                <w:sz w:val="21"/>
              </w:rPr>
              <w:t>Tatjana</w:t>
            </w:r>
            <w:proofErr w:type="spellEnd"/>
            <w:r w:rsidRPr="00EA3BFB">
              <w:rPr>
                <w:rFonts w:ascii="Times New Roman" w:eastAsia="Times New Roman" w:hAnsi="Times New Roman" w:cs="Times New Roman"/>
                <w:b/>
                <w:sz w:val="21"/>
              </w:rPr>
              <w:t xml:space="preserve"> </w:t>
            </w:r>
            <w:proofErr w:type="spellStart"/>
            <w:r w:rsidRPr="00EA3BFB">
              <w:rPr>
                <w:rFonts w:ascii="Times New Roman" w:eastAsia="Times New Roman" w:hAnsi="Times New Roman" w:cs="Times New Roman"/>
                <w:b/>
                <w:sz w:val="21"/>
              </w:rPr>
              <w:t>Bijelić</w:t>
            </w:r>
            <w:proofErr w:type="spellEnd"/>
          </w:p>
        </w:tc>
      </w:tr>
    </w:tbl>
    <w:p w:rsidR="00BA16BD" w:rsidRDefault="00D20D32">
      <w:pPr>
        <w:spacing w:after="0"/>
        <w:ind w:left="312"/>
        <w:jc w:val="both"/>
      </w:pPr>
      <w:r>
        <w:rPr>
          <w:rFonts w:ascii="Times New Roman" w:eastAsia="Times New Roman" w:hAnsi="Times New Roman" w:cs="Times New Roman"/>
          <w:b/>
          <w:sz w:val="27"/>
        </w:rPr>
        <w:t xml:space="preserve"> </w:t>
      </w:r>
    </w:p>
    <w:sectPr w:rsidR="00BA16B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6BD"/>
    <w:rsid w:val="003F24D0"/>
    <w:rsid w:val="007F084B"/>
    <w:rsid w:val="008B3BE6"/>
    <w:rsid w:val="00BA16BD"/>
    <w:rsid w:val="00D20D32"/>
    <w:rsid w:val="00EA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F453"/>
  <w15:docId w15:val="{285E144C-E8E3-451E-8F69-C62460CF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2024-02-15T08:27:00Z</dcterms:created>
  <dcterms:modified xsi:type="dcterms:W3CDTF">2024-02-18T10:14:00Z</dcterms:modified>
</cp:coreProperties>
</file>